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54"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E310A" w:rsidRP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Pr="00FE310A" w:rsidRDefault="00FE310A" w:rsidP="00FE310A">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E310A" w:rsidRPr="00FE310A" w:rsidRDefault="00FE310A" w:rsidP="00FE31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E310A"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10776B" w:rsidRDefault="00FE3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310A" w:rsidRDefault="00FE3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1.</w:t>
      </w:r>
      <w:r w:rsidRPr="007953C2">
        <w:rPr>
          <w:u w:color="000000" w:themeColor="text1"/>
        </w:rPr>
        <w:tab/>
        <w:t>Chapter 15, Title 7 of the 1976 Code is amended by adding: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610.</w:t>
      </w:r>
      <w:r w:rsidRPr="007953C2">
        <w:rPr>
          <w:u w:color="000000" w:themeColor="text1"/>
        </w:rPr>
        <w:tab/>
        <w:t>In registering to vote, an overseas voter who is eligible to vote in this State shall use and must be assigned to the voting precinct of the address of the last place of residence of the voter in this State, or in the case of a voter described by Section 7</w:t>
      </w:r>
      <w:r w:rsidRPr="007953C2">
        <w:rPr>
          <w:u w:color="000000" w:themeColor="text1"/>
        </w:rPr>
        <w:noBreakHyphen/>
        <w:t>15</w:t>
      </w:r>
      <w:r w:rsidRPr="007953C2">
        <w:rPr>
          <w:u w:color="000000" w:themeColor="text1"/>
        </w:rPr>
        <w:noBreakHyphen/>
        <w:t>310(10)(e), the address of the last place of residence in this State of the parent or legal guardian of the voter.  If that address is no longer a recognized residential address, the voter must be assigned an address for voting purposes.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620.</w:t>
      </w:r>
      <w:r w:rsidRPr="007953C2">
        <w:rPr>
          <w:u w:color="000000" w:themeColor="text1"/>
        </w:rPr>
        <w:tab/>
        <w:t>(A)</w:t>
      </w:r>
      <w:r w:rsidRPr="007953C2">
        <w:rPr>
          <w:u w:color="000000" w:themeColor="text1"/>
        </w:rPr>
        <w:tab/>
        <w:t xml:space="preserve">To apply to register to vote, in addition to another approved method, a covered voter may use a federal postcard application, or the application’s electronic equivalent.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  If the declaration is received after that date, it must be treated as an application to register to vote for subsequent elections.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The executive director of the State Election Commission shall ensure that the election commission’s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630.</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 xml:space="preserve">in absentee ballot, if the declaration is received by the appropriate election official by seven o’clock p.m. on election day.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 xml:space="preserve">the use of an overseas address on an approved voter registration application or ballot application; and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 xml:space="preserve">the inclusion on an approved voter registration application or ballot application of other information sufficient to identify the voter as a covered voter.  </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640.</w:t>
      </w:r>
      <w:r w:rsidRPr="007953C2">
        <w:rPr>
          <w:u w:color="000000" w:themeColor="text1"/>
        </w:rPr>
        <w:tab/>
        <w:t>If a ballot application from a covered voter arrives after the jurisdiction begins transmitting ballots and balloting materials to voters, the official charged with distributing a ballot and balloting materials shall transmit them to the voter not later than five o’clock p.m. on the next business day after the application arrives.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650.</w:t>
      </w:r>
      <w:r w:rsidRPr="007953C2">
        <w:rPr>
          <w:u w:color="000000" w:themeColor="text1"/>
        </w:rPr>
        <w:tab/>
        <w:t>(A)</w:t>
      </w:r>
      <w:r w:rsidRPr="007953C2">
        <w:rPr>
          <w:u w:color="000000" w:themeColor="text1"/>
        </w:rPr>
        <w:tab/>
        <w:t>A valid military</w:t>
      </w:r>
      <w:r w:rsidRPr="007953C2">
        <w:rPr>
          <w:u w:color="000000" w:themeColor="text1"/>
        </w:rPr>
        <w:noBreakHyphen/>
        <w:t>overseas ballot must be counted if it is delivered to the address that the appropriate state or local election office has specified by the close of business on the business day before the county canvass.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660.</w:t>
      </w:r>
      <w:r w:rsidRPr="007953C2">
        <w:rPr>
          <w:u w:color="000000" w:themeColor="text1"/>
        </w:rPr>
        <w:tab/>
        <w:t>A military</w:t>
      </w:r>
      <w:r w:rsidRPr="007953C2">
        <w:rPr>
          <w:u w:color="000000" w:themeColor="text1"/>
        </w:rPr>
        <w:noBreakHyphen/>
        <w:t>overseas ballot must include or be accompanied by a declaration signed by the voter that a material misstatement of fact in completing the ballot may be grounds for a conviction of perjury under the laws of the United States or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670.</w:t>
      </w:r>
      <w:r w:rsidRPr="007953C2">
        <w:rPr>
          <w:u w:color="000000" w:themeColor="text1"/>
        </w:rPr>
        <w:tab/>
        <w:t>The Executive Director of the State Election Commission, in coordination with local election officials, shall implement an electronic free</w:t>
      </w:r>
      <w:r w:rsidRPr="007953C2">
        <w:rPr>
          <w:u w:color="000000" w:themeColor="text1"/>
        </w:rPr>
        <w:noBreakHyphen/>
        <w:t>access system by which a covered voter may determine whether: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voter’s federal postcard application or other registration or military</w:t>
      </w:r>
      <w:r w:rsidRPr="007953C2">
        <w:rPr>
          <w:u w:color="000000" w:themeColor="text1"/>
        </w:rPr>
        <w:noBreakHyphen/>
        <w:t xml:space="preserve">overseas ballot application has been received and accepted; or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680.</w:t>
      </w:r>
      <w:r w:rsidRPr="007953C2">
        <w:rPr>
          <w:u w:color="000000" w:themeColor="text1"/>
        </w:rPr>
        <w:tab/>
        <w:t>(A)</w:t>
      </w:r>
      <w:r w:rsidRPr="007953C2">
        <w:rPr>
          <w:u w:color="000000" w:themeColor="text1"/>
        </w:rPr>
        <w:tab/>
        <w:t>The local election official 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mail address provided by a covered voter may not be made available to the public or any individual or organization other than an authorized agent of the local election official and is exempt from disclosure under the Freedom of Information laws of this State.  The address may be used only for official communication with the voter about the voting process, including transmitting military</w:t>
      </w:r>
      <w:r w:rsidRPr="007953C2">
        <w:rPr>
          <w:u w:color="000000" w:themeColor="text1"/>
        </w:rPr>
        <w:noBreakHyphen/>
        <w:t>overseas ballots and election materials if the voter has requested electronic transmission, and verifying the 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first of the year following the calendar year of the date of the application or another shorter period the voter specifies, including for any runoff elections that occur as a result of those elections.  An election official shall provide a military</w:t>
      </w:r>
      <w:r w:rsidRPr="007953C2">
        <w:rPr>
          <w:u w:color="000000" w:themeColor="text1"/>
        </w:rPr>
        <w:noBreakHyphen/>
        <w:t>overseas ballot to a voter who makes a standing request for each election to which the request 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690.</w:t>
      </w:r>
      <w:r w:rsidRPr="007953C2">
        <w:rPr>
          <w:u w:color="000000" w:themeColor="text1"/>
        </w:rPr>
        <w:tab/>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A local election jurisdiction that maintains an online website shall make the election notice available by linking to the State Election Commission website.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700.</w:t>
      </w:r>
      <w:r w:rsidRPr="007953C2">
        <w:rPr>
          <w:u w:color="000000" w:themeColor="text1"/>
        </w:rPr>
        <w:tab/>
        <w:t>(A)</w:t>
      </w:r>
      <w:r w:rsidRPr="007953C2">
        <w:rPr>
          <w:u w:color="000000" w:themeColor="text1"/>
        </w:rPr>
        <w:tab/>
        <w:t>If a 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 xml:space="preserve">in ballot authorized by this article </w:t>
      </w:r>
      <w:r w:rsidRPr="007953C2">
        <w:rPr>
          <w:u w:color="000000" w:themeColor="text1"/>
        </w:rPr>
        <w:lastRenderedPageBreak/>
        <w:t>or in a vote for a write</w:t>
      </w:r>
      <w:r w:rsidRPr="007953C2">
        <w:rPr>
          <w:u w:color="000000" w:themeColor="text1"/>
        </w:rPr>
        <w:noBreakHyphen/>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Notarization is not required for the execution of a document pursuant to this article.  An authentication, other than the declaration specified in Section 7</w:t>
      </w:r>
      <w:r w:rsidRPr="007953C2">
        <w:rPr>
          <w:u w:color="000000" w:themeColor="text1"/>
        </w:rPr>
        <w:noBreakHyphen/>
        <w:t>15</w:t>
      </w:r>
      <w:r w:rsidRPr="007953C2">
        <w:rPr>
          <w:u w:color="000000" w:themeColor="text1"/>
        </w:rPr>
        <w:noBreakHyphen/>
        <w:t>660, or the declaration on the federal postcard application and federal write</w:t>
      </w:r>
      <w:r w:rsidRPr="007953C2">
        <w:rPr>
          <w:u w:color="000000" w:themeColor="text1"/>
        </w:rPr>
        <w:noBreakHyphen/>
        <w:t>in absentee ballot, is not required for execution of a document pursuant to this article.  The declaration and any information in the declaration may be compared with information on file to ascertain the validity of the document.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710.</w:t>
      </w:r>
      <w:r w:rsidRPr="007953C2">
        <w:rPr>
          <w:u w:color="000000" w:themeColor="text1"/>
        </w:rPr>
        <w:tab/>
        <w:t>A court may issue an injunction or grant other equitable relief appropriate to ensure substantial compliance with, or enforce, this article on application by: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a covered voter alleging a grievance under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an election official in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720.</w:t>
      </w:r>
      <w:r w:rsidRPr="007953C2">
        <w:rPr>
          <w:u w:color="000000" w:themeColor="text1"/>
        </w:rPr>
        <w:tab/>
        <w:t>In applying and construing this article, consideration may be given to the need to promote uniformity of the law with respect to its subject matter among states that enact it.”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SECTION</w:t>
      </w:r>
      <w:r w:rsidRPr="007953C2">
        <w:tab/>
        <w:t>2.</w:t>
      </w:r>
      <w:r w:rsidRPr="007953C2">
        <w:tab/>
        <w:t>Section 7-15-310 of the 1976 Code, as last amended by Act 392 of 2000, is further amended to read:</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7953C2">
        <w:rPr>
          <w:strike/>
          <w:u w:color="000000" w:themeColor="text1"/>
        </w:rPr>
        <w:t>article</w:t>
      </w:r>
      <w:r w:rsidRPr="007953C2">
        <w:rPr>
          <w:u w:val="single" w:color="000000" w:themeColor="text1"/>
        </w:rPr>
        <w:t>chapter</w:t>
      </w:r>
      <w:r w:rsidRPr="007953C2">
        <w:rPr>
          <w:u w:color="000000" w:themeColor="text1"/>
        </w:rPr>
        <w: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lastRenderedPageBreak/>
        <w:tab/>
        <w:t>(5)</w:t>
      </w:r>
      <w:r w:rsidRPr="007953C2">
        <w:tab/>
      </w:r>
      <w:r w:rsidRPr="007953C2">
        <w:rPr>
          <w:strike/>
        </w:rPr>
        <w:t>The term</w:t>
      </w:r>
      <w:r w:rsidRPr="007953C2">
        <w:t xml:space="preserve"> ‘Registration form’ means Standard Form 76, or </w:t>
      </w:r>
      <w:r w:rsidRPr="007953C2">
        <w:rPr>
          <w:strike/>
        </w:rPr>
        <w:t>any</w:t>
      </w:r>
      <w:r w:rsidRPr="007953C2">
        <w:rPr>
          <w:u w:val="single"/>
        </w:rPr>
        <w:t>a</w:t>
      </w:r>
      <w:r w:rsidRPr="007953C2">
        <w:t xml:space="preserve"> subsequent form replacing it, authorized by the federal government or the state form described in Section 7</w:t>
      </w:r>
      <w:r w:rsidRPr="007953C2">
        <w:noBreakHyphen/>
        <w:t>15</w:t>
      </w:r>
      <w:r w:rsidRPr="007953C2">
        <w:noBreakHyphen/>
        <w:t>120.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sidRPr="007953C2">
        <w:rPr>
          <w:u w:val="single"/>
        </w:rPr>
        <w:t>a</w:t>
      </w:r>
      <w:r w:rsidRPr="007953C2">
        <w:t xml:space="preserve"> handicap </w:t>
      </w:r>
      <w:r w:rsidRPr="007953C2">
        <w:rPr>
          <w:u w:val="single"/>
        </w:rPr>
        <w:t>is</w:t>
      </w:r>
      <w:r w:rsidRPr="007953C2">
        <w:t xml:space="preserve"> unable to vote at his polling place due to existing architectural barriers </w:t>
      </w:r>
      <w:r w:rsidRPr="007953C2">
        <w:rPr>
          <w:strike/>
        </w:rPr>
        <w:t>which</w:t>
      </w:r>
      <w:r w:rsidRPr="007953C2">
        <w:rPr>
          <w:u w:val="single"/>
        </w:rPr>
        <w:t>that</w:t>
      </w:r>
      <w:r w:rsidRPr="007953C2">
        <w:t xml:space="preserve"> deny him physical access to the polling place, voting booth, or voting apparatus or machinery. Under no circumstance shall a candidate or a member of a candidate’s paid campaign staff or volunteers reimbursed for the time they expend on campaign activity be considered an ‘authorized representative’ of an elector desiring to vote by absentee ballot.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(10)</w:t>
      </w:r>
      <w:r w:rsidRPr="007953C2">
        <w:rPr>
          <w:u w:color="000000" w:themeColor="text1"/>
        </w:rPr>
        <w:tab/>
      </w:r>
      <w:r w:rsidRPr="007953C2">
        <w:rPr>
          <w:u w:val="single" w:color="000000" w:themeColor="text1"/>
        </w:rPr>
        <w:t>‘Covered voter’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defined in paragraph (9)(A) whose voting residence is in this State and who otherwise satisfies this state’s voter eligibility requirements;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 xml:space="preserve">an overseas voter who, before leaving the United States, was last eligible to vote in this State and, except for a state residency requirement, otherwise satisfies this state’s voter eligibility requirements;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 xml:space="preserve">an overseas voter who was born outside the United States, is not described in subitem (c) or (d), and, except for a state </w:t>
      </w:r>
      <w:r w:rsidRPr="007953C2">
        <w:rPr>
          <w:u w:val="single" w:color="000000" w:themeColor="text1"/>
        </w:rPr>
        <w:lastRenderedPageBreak/>
        <w:t>residency requirement, otherwise satisfies this state’s voter eligibility requirements, if:</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(11)</w:t>
      </w:r>
      <w:r w:rsidRPr="007953C2">
        <w:rPr>
          <w:u w:color="000000" w:themeColor="text1"/>
        </w:rPr>
        <w:tab/>
      </w:r>
      <w:r w:rsidRPr="007953C2">
        <w:rPr>
          <w:u w:val="single" w:color="000000" w:themeColor="text1"/>
        </w:rPr>
        <w:t>‘Dependent’ means an individual recognized as a dependent by a uniformed service.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(12)</w:t>
      </w:r>
      <w:r w:rsidRPr="007953C2">
        <w:rPr>
          <w:u w:color="000000" w:themeColor="text1"/>
        </w:rPr>
        <w:tab/>
      </w:r>
      <w:r w:rsidRPr="007953C2">
        <w:rPr>
          <w:u w:val="single" w:color="000000" w:themeColor="text1"/>
        </w:rPr>
        <w:t xml:space="preserve">‘Federal postcard application’ means the application prescribed under Section 101(b)(2) of the Uniformed and Overseas Citizens Absentee Voting Act, 42 U.S.C. Section 1973ff(b)(2).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(13)</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(14)</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federal write</w:t>
      </w:r>
      <w:r w:rsidRPr="007953C2">
        <w:rPr>
          <w:u w:val="single"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(15)</w:t>
      </w:r>
      <w:r w:rsidRPr="007953C2">
        <w:rPr>
          <w:u w:color="000000" w:themeColor="text1"/>
        </w:rPr>
        <w:tab/>
      </w:r>
      <w:r w:rsidRPr="007953C2">
        <w:rPr>
          <w:u w:val="single" w:color="000000" w:themeColor="text1"/>
        </w:rPr>
        <w:t>‘Overseas voter’ means a United States citizen who resides outside the United States.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(16)</w:t>
      </w:r>
      <w:r w:rsidRPr="007953C2">
        <w:rPr>
          <w:u w:color="000000" w:themeColor="text1"/>
        </w:rPr>
        <w:tab/>
      </w:r>
      <w:r w:rsidRPr="007953C2">
        <w:rPr>
          <w:u w:val="single" w:color="000000" w:themeColor="text1"/>
        </w:rPr>
        <w:t>‘Uniformed service’ also means:</w:t>
      </w:r>
      <w:r w:rsidRPr="007953C2">
        <w:rPr>
          <w:u w:color="000000" w:themeColor="text1"/>
        </w:rPr>
        <w:t xml:space="preserv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active and reserve components of the Army, Navy, Air Force, Marine Corps, or Coast Guard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Administration of the United States;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(17)</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 xml:space="preserve">a member of the Merchant Marine, the commissioned corps of the Public Health Service, or the commissioned corps of the National Oceanic and Atmospheric Administration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3.</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445B" w:rsidRPr="00464A83"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53C2">
        <w:rPr>
          <w:u w:color="000000" w:themeColor="text1"/>
        </w:rPr>
        <w:t>SECTION</w:t>
      </w:r>
      <w:r w:rsidRPr="007953C2">
        <w:rPr>
          <w:u w:color="000000" w:themeColor="text1"/>
        </w:rPr>
        <w:tab/>
        <w:t>4.</w:t>
      </w:r>
      <w:r w:rsidRPr="007953C2">
        <w:rPr>
          <w:u w:color="000000" w:themeColor="text1"/>
        </w:rPr>
        <w:tab/>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2FA" w:rsidRDefault="005F72FA" w:rsidP="005F72FA">
      <w:pPr>
        <w:suppressAutoHyphens/>
      </w:pPr>
    </w:p>
    <w:sectPr w:rsidR="005F72FA"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484ECB-75C9-4D33-9EA9-446B68821F70}"/>
    <w:embedBold r:id="rId2" w:fontKey="{4780AA84-9635-4DCC-8E7F-8F13E839EC90}"/>
  </w:font>
  <w:font w:name="Calibri">
    <w:panose1 w:val="020F0502020204030204"/>
    <w:charset w:val="00"/>
    <w:family w:val="swiss"/>
    <w:pitch w:val="variable"/>
    <w:sig w:usb0="E10002FF" w:usb1="4000ACFF" w:usb2="00000009" w:usb3="00000000" w:csb0="0000019F" w:csb1="00000000"/>
    <w:embedRegular r:id="rId3" w:fontKey="{A8531D6B-F49E-4501-B358-2B06B5A4465A}"/>
  </w:font>
  <w:font w:name="Segoe UI">
    <w:panose1 w:val="020B0502040204020203"/>
    <w:charset w:val="00"/>
    <w:family w:val="swiss"/>
    <w:pitch w:val="variable"/>
    <w:sig w:usb0="E10022FF" w:usb1="C000E47F" w:usb2="00000029" w:usb3="00000000" w:csb0="000001DF" w:csb1="00000000"/>
    <w:embedRegular r:id="rId4" w:fontKey="{E2F91CEC-6ED6-4282-8F3C-CE33BBD1F774}"/>
  </w:font>
  <w:font w:name="Cambria">
    <w:panose1 w:val="02040503050406030204"/>
    <w:charset w:val="00"/>
    <w:family w:val="roman"/>
    <w:pitch w:val="variable"/>
    <w:sig w:usb0="E00002FF" w:usb1="400004FF" w:usb2="00000000" w:usb3="00000000" w:csb0="0000019F" w:csb1="00000000"/>
    <w:embedRegular r:id="rId5" w:fontKey="{15DB5F0C-33A3-4804-8F16-367BA932B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5F72FA">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5F72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74A"/>
    <w:rsid w:val="001D08F2"/>
    <w:rsid w:val="001D525B"/>
    <w:rsid w:val="001D7F4F"/>
    <w:rsid w:val="002321B6"/>
    <w:rsid w:val="00250967"/>
    <w:rsid w:val="002543C8"/>
    <w:rsid w:val="00284AA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C2FE2"/>
    <w:rsid w:val="005E2BC9"/>
    <w:rsid w:val="005F72FA"/>
    <w:rsid w:val="00605102"/>
    <w:rsid w:val="006215AA"/>
    <w:rsid w:val="00677227"/>
    <w:rsid w:val="006913C9"/>
    <w:rsid w:val="0069470D"/>
    <w:rsid w:val="00734F00"/>
    <w:rsid w:val="0074445B"/>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23FAC"/>
    <w:rsid w:val="00B3445E"/>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87616-FA8A-421B-9291-6B1818E8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E7083FA1.dotm</Template>
  <TotalTime>0</TotalTime>
  <Pages>9</Pages>
  <Words>2555</Words>
  <Characters>13573</Characters>
  <Application>Microsoft Office Word</Application>
  <DocSecurity>0</DocSecurity>
  <Lines>335</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(Apr. 28, 2015) - South Carolina Legislature Online</dc:title>
  <dc:creator>GloriaShackelford</dc:creator>
  <cp:lastModifiedBy>Angela Hopkins</cp:lastModifiedBy>
  <cp:revision>2</cp:revision>
  <cp:lastPrinted>2014-12-09T20:10:00Z</cp:lastPrinted>
  <dcterms:created xsi:type="dcterms:W3CDTF">2015-04-28T20:19:00Z</dcterms:created>
  <dcterms:modified xsi:type="dcterms:W3CDTF">2015-04-28T20:19:00Z</dcterms:modified>
</cp:coreProperties>
</file>