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Pr="000B62DD" w:rsidRDefault="000B62DD" w:rsidP="000B62DD">
      <w:pPr>
        <w:pStyle w:val="BillDots"/>
        <w:tabs>
          <w:tab w:val="clear" w:pos="216"/>
          <w:tab w:val="clear" w:pos="432"/>
          <w:tab w:val="clear" w:pos="648"/>
          <w:tab w:val="clear" w:pos="864"/>
          <w:tab w:val="clear" w:pos="1080"/>
          <w:tab w:val="clear" w:pos="1296"/>
          <w:tab w:val="clear" w:pos="5904"/>
          <w:tab w:val="right" w:pos="5933"/>
        </w:tabs>
      </w:pPr>
      <w:r>
        <w:tab/>
      </w:r>
      <w:r>
        <w:rPr>
          <w:b/>
          <w:sz w:val="36"/>
        </w:rPr>
        <w:t>H. 3194</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Cole, Finlay, Newton, Pope, Anderson, Bales, G.A. Brown, R.L. Brown, Felder, Funderburk, Hart, Knight, Lucas, Murphy, Norman, Norrell, Putnam, Rivers, Southard, Spires, Tallon, Taylor, Wells, Williams, Willis, Long, Henderson, G.M. Smith, G.R. Smith, McCoy, Clary, M.S. McLeod, Weeks and W.J. McLeod</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3194) to amend Sections 8</w:t>
      </w:r>
      <w:r>
        <w:noBreakHyphen/>
        <w:t>13</w:t>
      </w:r>
      <w:r>
        <w:noBreakHyphen/>
        <w:t>100 and 8</w:t>
      </w:r>
      <w:r>
        <w:noBreakHyphen/>
        <w:t>13</w:t>
      </w:r>
      <w:r>
        <w:noBreakHyphen/>
        <w:t>1300, both as amended, Code of Laws of South Carolina, 1976, both relating to the definitions of, etc., respectfully</w:t>
      </w: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B62DD" w:rsidSect="000B62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45CF" w:rsidRDefault="00FF45CF"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0B62D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5B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89" w:rsidRDefault="002C0489" w:rsidP="0053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8</w:t>
      </w:r>
      <w:r>
        <w:noBreakHyphen/>
        <w:t>13</w:t>
      </w:r>
      <w:r>
        <w:noBreakHyphen/>
        <w:t>100 AND 8</w:t>
      </w:r>
      <w:r>
        <w:noBreakHyphen/>
        <w:t>13</w:t>
      </w:r>
      <w:r>
        <w:noBreakHyphen/>
        <w:t>1300, BOTH AS AMENDED, CODE OF LAWS OF SOUTH CAROLINA, 1976, BOTH RELATING TO THE DEFINITIONS OF “CANDIDATE” FOR PURPOSES OF THE ETHICS, GOVERNMENT ACCOUNTABILITY, AND CAMPAIGN REFORM ACT, SO AS TO SPECIFY THAT A “CANDIDATE” IS ALSO A PERSON THAT MAINTAINS AN OPEN BANK ACCOUNT CONTAINING CONTRIBUTIONS; AND TO AMEND SECTION 8</w:t>
      </w:r>
      <w:r>
        <w:noBreakHyphen/>
        <w:t>13</w:t>
      </w:r>
      <w:r>
        <w:noBreakHyphen/>
        <w:t xml:space="preserve">1302, AS AMENDED, RELATING TO THE MAINTENANCE OF RECORDS OF CONTRIBUTIONS, SO AS TO AUTHORIZE THE APPROPRIATE SUPERVISORY OFFICE TO REQUEST IN WRITING THE DISCLOSURE OF CERTAIN MANDATORY RECORDS FOR THE PURPOSE OF VERIFYING CAMPAIGN DISCLOSURE FORMS.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60A4E">
        <w:rPr>
          <w:color w:val="000000" w:themeColor="text1"/>
          <w:u w:color="000000" w:themeColor="text1"/>
        </w:rPr>
        <w:t>1.</w:t>
      </w:r>
      <w:r w:rsidRPr="00460A4E">
        <w:rPr>
          <w:color w:val="000000" w:themeColor="text1"/>
          <w:u w:color="000000" w:themeColor="text1"/>
        </w:rPr>
        <w:tab/>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100(5) of the 1976 Code, as last amended by Act 6 of 1995, is further amended to read:</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“(5)</w:t>
      </w:r>
      <w:r>
        <w:rPr>
          <w:color w:val="000000" w:themeColor="text1"/>
          <w:u w:color="000000" w:themeColor="text1"/>
        </w:rPr>
        <w:tab/>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means a person who seeks appointment, nomination for election, or election to a state or local office, </w:t>
      </w:r>
      <w:r w:rsidRPr="00460A4E">
        <w:rPr>
          <w:strike/>
          <w:color w:val="000000" w:themeColor="text1"/>
          <w:u w:color="000000" w:themeColor="text1"/>
        </w:rPr>
        <w:t>or</w:t>
      </w:r>
      <w:r w:rsidRPr="00460A4E">
        <w:rPr>
          <w:color w:val="000000" w:themeColor="text1"/>
          <w:u w:color="000000" w:themeColor="text1"/>
        </w:rPr>
        <w:t xml:space="preserve"> authorizes or knowingly permits the collection or disbursement of money for the promotion of his candidacy or election</w:t>
      </w:r>
      <w:r w:rsidRPr="00460A4E">
        <w:rPr>
          <w:color w:val="000000" w:themeColor="text1"/>
          <w:u w:val="single" w:color="000000" w:themeColor="text1"/>
        </w:rPr>
        <w:t>, or maintains an open bank account containing contributions</w:t>
      </w:r>
      <w:r w:rsidRPr="00460A4E">
        <w:rPr>
          <w:color w:val="000000" w:themeColor="text1"/>
          <w:u w:color="000000" w:themeColor="text1"/>
        </w:rPr>
        <w:t>. It also means a person on whose behalf write</w:t>
      </w:r>
      <w:r>
        <w:rPr>
          <w:color w:val="000000" w:themeColor="text1"/>
          <w:u w:color="000000" w:themeColor="text1"/>
        </w:rPr>
        <w:noBreakHyphen/>
      </w:r>
      <w:r w:rsidRPr="00460A4E">
        <w:rPr>
          <w:color w:val="000000" w:themeColor="text1"/>
          <w:u w:color="000000" w:themeColor="text1"/>
        </w:rPr>
        <w:t xml:space="preserve">in votes are solicited if the person has knowledge of </w:t>
      </w:r>
      <w:r w:rsidRPr="00366304">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460A4E">
        <w:rPr>
          <w:color w:val="000000" w:themeColor="text1"/>
          <w:u w:color="000000" w:themeColor="text1"/>
        </w:rPr>
        <w:t xml:space="preserve"> solicitation.</w:t>
      </w:r>
      <w:r>
        <w:rPr>
          <w:color w:val="000000" w:themeColor="text1"/>
          <w:u w:color="000000" w:themeColor="text1"/>
        </w:rPr>
        <w:t xml:space="preserve"> </w:t>
      </w:r>
      <w:r w:rsidRPr="00460A4E">
        <w:rPr>
          <w:color w:val="000000" w:themeColor="text1"/>
          <w:u w:color="000000" w:themeColor="text1"/>
        </w:rPr>
        <w:t xml:space="preserve"> </w:t>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does not include a person within the meaning of Section 431(b) of the Federal Election Campaign Act of 1976.”</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SECTION</w:t>
      </w:r>
      <w:r w:rsidRPr="00460A4E">
        <w:rPr>
          <w:color w:val="000000" w:themeColor="text1"/>
          <w:u w:color="000000" w:themeColor="text1"/>
        </w:rPr>
        <w:tab/>
        <w:t>2.</w:t>
      </w:r>
      <w:r>
        <w:rPr>
          <w:color w:val="000000" w:themeColor="text1"/>
          <w:u w:color="000000" w:themeColor="text1"/>
        </w:rPr>
        <w:tab/>
      </w:r>
      <w:r w:rsidRPr="00460A4E">
        <w:rPr>
          <w:color w:val="000000" w:themeColor="text1"/>
          <w:u w:color="000000" w:themeColor="text1"/>
        </w:rPr>
        <w:t>Section</w:t>
      </w:r>
      <w:r>
        <w:rPr>
          <w:color w:val="000000" w:themeColor="text1"/>
          <w:u w:color="000000" w:themeColor="text1"/>
        </w:rPr>
        <w:t xml:space="preserve"> </w:t>
      </w:r>
      <w:r w:rsidRPr="00460A4E">
        <w:rPr>
          <w:color w:val="000000" w:themeColor="text1"/>
          <w:u w:color="000000" w:themeColor="text1"/>
        </w:rPr>
        <w:t>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t>1300</w:t>
      </w:r>
      <w:r w:rsidRPr="00460A4E">
        <w:rPr>
          <w:color w:val="000000" w:themeColor="text1"/>
          <w:u w:color="000000" w:themeColor="text1"/>
        </w:rPr>
        <w:t>(4) of the 1976 Code, as last amended by Act 76 of 2003, is further amended to read:</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 xml:space="preserve"> </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“(4)</w:t>
      </w:r>
      <w:r w:rsidRPr="00460A4E">
        <w:rPr>
          <w:color w:val="000000" w:themeColor="text1"/>
          <w:u w:color="000000" w:themeColor="text1"/>
        </w:rPr>
        <w:tab/>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means</w:t>
      </w:r>
      <w:r>
        <w:rPr>
          <w:color w:val="000000" w:themeColor="text1"/>
          <w:u w:color="000000" w:themeColor="text1"/>
        </w:rPr>
        <w:t xml:space="preserve"> </w:t>
      </w:r>
      <w:r>
        <w:rPr>
          <w:color w:val="000000" w:themeColor="text1"/>
          <w:u w:val="single" w:color="000000" w:themeColor="text1"/>
        </w:rPr>
        <w:t>a person</w:t>
      </w:r>
      <w:r w:rsidRPr="00460A4E">
        <w:rPr>
          <w:color w:val="000000" w:themeColor="text1"/>
          <w:u w:color="000000" w:themeColor="text1"/>
        </w:rPr>
        <w:t>:</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(a)</w:t>
      </w:r>
      <w:r>
        <w:rPr>
          <w:color w:val="000000" w:themeColor="text1"/>
          <w:u w:color="000000" w:themeColor="text1"/>
        </w:rPr>
        <w:tab/>
      </w:r>
      <w:r w:rsidRPr="00366304">
        <w:rPr>
          <w:strike/>
          <w:color w:val="000000" w:themeColor="text1"/>
          <w:u w:color="000000" w:themeColor="text1"/>
        </w:rPr>
        <w:t>a person</w:t>
      </w:r>
      <w:r w:rsidRPr="00366304">
        <w:rPr>
          <w:color w:val="000000" w:themeColor="text1"/>
          <w:u w:color="000000" w:themeColor="text1"/>
        </w:rPr>
        <w:t xml:space="preserve"> who</w:t>
      </w:r>
      <w:r w:rsidRPr="00460A4E">
        <w:rPr>
          <w:color w:val="000000" w:themeColor="text1"/>
          <w:u w:color="000000" w:themeColor="text1"/>
        </w:rPr>
        <w:t xml:space="preserve"> seeks appointment, nomination for election, or election to a statewide or local office, or authorizes or knowingly permits the collection or disbursement of money for the promotio</w:t>
      </w:r>
      <w:r>
        <w:rPr>
          <w:color w:val="000000" w:themeColor="text1"/>
          <w:u w:color="000000" w:themeColor="text1"/>
        </w:rPr>
        <w:t>n of his candidacy or election;</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(b)</w:t>
      </w:r>
      <w:r>
        <w:rPr>
          <w:color w:val="000000" w:themeColor="text1"/>
          <w:u w:color="000000" w:themeColor="text1"/>
        </w:rPr>
        <w:tab/>
      </w:r>
      <w:r w:rsidRPr="00366304">
        <w:rPr>
          <w:strike/>
          <w:color w:val="000000" w:themeColor="text1"/>
          <w:u w:color="000000" w:themeColor="text1"/>
        </w:rPr>
        <w:t>a person</w:t>
      </w:r>
      <w:r w:rsidRPr="00366304">
        <w:rPr>
          <w:color w:val="000000" w:themeColor="text1"/>
          <w:u w:color="000000" w:themeColor="text1"/>
        </w:rPr>
        <w:t xml:space="preserve"> who</w:t>
      </w:r>
      <w:r w:rsidRPr="00460A4E">
        <w:rPr>
          <w:color w:val="000000" w:themeColor="text1"/>
          <w:u w:color="000000" w:themeColor="text1"/>
        </w:rPr>
        <w:t xml:space="preserve"> is exploring whether or not to seek election at the state or local level; </w:t>
      </w:r>
      <w:r w:rsidRPr="00460A4E">
        <w:rPr>
          <w:strike/>
          <w:color w:val="000000" w:themeColor="text1"/>
          <w:u w:color="000000" w:themeColor="text1"/>
        </w:rPr>
        <w:t>or</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(c)</w:t>
      </w:r>
      <w:r>
        <w:rPr>
          <w:color w:val="000000" w:themeColor="text1"/>
          <w:u w:color="000000" w:themeColor="text1"/>
        </w:rPr>
        <w:tab/>
      </w:r>
      <w:r w:rsidRPr="00366304">
        <w:rPr>
          <w:strike/>
          <w:color w:val="000000" w:themeColor="text1"/>
          <w:u w:color="000000" w:themeColor="text1"/>
        </w:rPr>
        <w:t>a person</w:t>
      </w:r>
      <w:r w:rsidRPr="00460A4E">
        <w:rPr>
          <w:color w:val="000000" w:themeColor="text1"/>
          <w:u w:color="000000" w:themeColor="text1"/>
        </w:rPr>
        <w:t xml:space="preserve"> on whose behalf write</w:t>
      </w:r>
      <w:r>
        <w:rPr>
          <w:color w:val="000000" w:themeColor="text1"/>
          <w:u w:color="000000" w:themeColor="text1"/>
        </w:rPr>
        <w:noBreakHyphen/>
      </w:r>
      <w:r w:rsidRPr="00460A4E">
        <w:rPr>
          <w:color w:val="000000" w:themeColor="text1"/>
          <w:u w:color="000000" w:themeColor="text1"/>
        </w:rPr>
        <w:t xml:space="preserve">in votes are solicited if the person has knowledge of </w:t>
      </w:r>
      <w:r w:rsidRPr="00366304">
        <w:rPr>
          <w:strike/>
          <w:color w:val="000000" w:themeColor="text1"/>
          <w:u w:color="000000" w:themeColor="text1"/>
        </w:rPr>
        <w:t>such</w:t>
      </w:r>
      <w:r w:rsidRPr="00460A4E">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460A4E">
        <w:rPr>
          <w:color w:val="000000" w:themeColor="text1"/>
          <w:u w:color="000000" w:themeColor="text1"/>
        </w:rPr>
        <w:t>solicitation</w:t>
      </w:r>
      <w:r w:rsidRPr="00460A4E">
        <w:rPr>
          <w:color w:val="000000" w:themeColor="text1"/>
          <w:u w:val="single" w:color="000000" w:themeColor="text1"/>
        </w:rPr>
        <w:t>; or</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val="single" w:color="000000" w:themeColor="text1"/>
        </w:rPr>
        <w:t>(d)</w:t>
      </w:r>
      <w:r>
        <w:rPr>
          <w:color w:val="000000" w:themeColor="text1"/>
          <w:u w:color="000000" w:themeColor="text1"/>
        </w:rPr>
        <w:tab/>
      </w:r>
      <w:r w:rsidRPr="00460A4E">
        <w:rPr>
          <w:color w:val="000000" w:themeColor="text1"/>
          <w:u w:val="single" w:color="000000" w:themeColor="text1"/>
        </w:rPr>
        <w:t>who maintains an open bank account containing contributions</w:t>
      </w:r>
      <w:r w:rsidRPr="00460A4E">
        <w:rPr>
          <w:color w:val="000000" w:themeColor="text1"/>
          <w:u w:color="000000" w:themeColor="text1"/>
        </w:rPr>
        <w:t>.</w:t>
      </w:r>
      <w:r>
        <w:rPr>
          <w:color w:val="000000" w:themeColor="text1"/>
          <w:u w:color="000000" w:themeColor="text1"/>
        </w:rPr>
        <w:t xml:space="preserve"> </w:t>
      </w:r>
      <w:r w:rsidRPr="00460A4E">
        <w:rPr>
          <w:color w:val="000000" w:themeColor="text1"/>
          <w:u w:color="000000" w:themeColor="text1"/>
        </w:rPr>
        <w:t xml:space="preserve"> </w:t>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does not include a candidate within the meaning of Section 431(b) of the Federal Election Campaign Act of 1976.”</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SECTION</w:t>
      </w:r>
      <w:r w:rsidRPr="00460A4E">
        <w:rPr>
          <w:color w:val="000000" w:themeColor="text1"/>
          <w:u w:color="000000" w:themeColor="text1"/>
        </w:rPr>
        <w:tab/>
        <w:t>3.</w:t>
      </w:r>
      <w:r>
        <w:rPr>
          <w:color w:val="000000" w:themeColor="text1"/>
          <w:u w:color="000000" w:themeColor="text1"/>
        </w:rPr>
        <w:tab/>
      </w:r>
      <w:r w:rsidRPr="00460A4E">
        <w:rPr>
          <w:color w:val="000000" w:themeColor="text1"/>
          <w:u w:color="000000" w:themeColor="text1"/>
        </w:rPr>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 xml:space="preserve">1302 of the 1976 Code, as last amended by Act 76 of 2003 is further amended to read: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1302.</w:t>
      </w:r>
      <w:r w:rsidRPr="00460A4E">
        <w:rPr>
          <w:color w:val="000000" w:themeColor="text1"/>
          <w:u w:color="000000" w:themeColor="text1"/>
        </w:rPr>
        <w:tab/>
        <w:t>(A)</w:t>
      </w:r>
      <w:r w:rsidRPr="00460A4E">
        <w:rPr>
          <w:color w:val="000000" w:themeColor="text1"/>
          <w:u w:color="000000" w:themeColor="text1"/>
        </w:rPr>
        <w:tab/>
        <w:t xml:space="preserve">A candidate, committee, or ballot measure committee must maintain and preserve an account of: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(1)</w:t>
      </w:r>
      <w:r w:rsidRPr="00460A4E">
        <w:rPr>
          <w:color w:val="000000" w:themeColor="text1"/>
          <w:u w:color="000000" w:themeColor="text1"/>
        </w:rPr>
        <w:tab/>
        <w:t xml:space="preserve">the total amount of contributions accepted by the candidate, committee, or ballot measure committee;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(2)</w:t>
      </w:r>
      <w:r w:rsidRPr="00460A4E">
        <w:rPr>
          <w:color w:val="000000" w:themeColor="text1"/>
          <w:u w:color="000000" w:themeColor="text1"/>
        </w:rPr>
        <w:tab/>
        <w:t xml:space="preserve">the name and address of each person making a contribution and the amount and date of receipt of each contribution;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(3)</w:t>
      </w:r>
      <w:r w:rsidRPr="00460A4E">
        <w:rPr>
          <w:color w:val="000000" w:themeColor="text1"/>
          <w:u w:color="000000" w:themeColor="text1"/>
        </w:rPr>
        <w:tab/>
        <w:t xml:space="preserve">the total amount of expenditures made by or on behalf of the candidate, committee, or ballot measure committee;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(4)</w:t>
      </w:r>
      <w:r w:rsidRPr="00460A4E">
        <w:rPr>
          <w:color w:val="000000" w:themeColor="text1"/>
          <w:u w:color="000000" w:themeColor="text1"/>
        </w:rPr>
        <w:tab/>
        <w:t xml:space="preserve">the name and address of each person to whom an expenditure is made including the date, amount, purpose, and beneficiary of the expenditure;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(5)</w:t>
      </w:r>
      <w:r w:rsidRPr="00460A4E">
        <w:rPr>
          <w:color w:val="000000" w:themeColor="text1"/>
          <w:u w:color="000000" w:themeColor="text1"/>
        </w:rPr>
        <w:tab/>
        <w:t xml:space="preserve">all receipted bills, canceled checks, or other proof of payment for each expenditure; and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(6)</w:t>
      </w:r>
      <w:r w:rsidRPr="00460A4E">
        <w:rPr>
          <w:color w:val="000000" w:themeColor="text1"/>
          <w:u w:color="000000" w:themeColor="text1"/>
        </w:rPr>
        <w:tab/>
        <w:t xml:space="preserve">the occupation of each person making a contribution.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(B)</w:t>
      </w:r>
      <w:r w:rsidRPr="00460A4E">
        <w:rPr>
          <w:color w:val="000000" w:themeColor="text1"/>
          <w:u w:color="000000" w:themeColor="text1"/>
        </w:rPr>
        <w:tab/>
        <w:t xml:space="preserve">The candidate, committee, or ballot measure committee must maintain and preserve all receipted bills and accounts required by this article for four years.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val="single" w:color="000000" w:themeColor="text1"/>
        </w:rPr>
        <w:t>(C)</w:t>
      </w:r>
      <w:r w:rsidRPr="00460A4E">
        <w:rPr>
          <w:color w:val="000000" w:themeColor="text1"/>
          <w:u w:color="000000" w:themeColor="text1"/>
        </w:rPr>
        <w:tab/>
      </w:r>
      <w:r w:rsidRPr="00460A4E">
        <w:rPr>
          <w:color w:val="000000" w:themeColor="text1"/>
          <w:u w:val="single" w:color="000000" w:themeColor="text1"/>
        </w:rPr>
        <w:t>An appropriate supervisory office may request in writing, disclosure of any records required to be maintained by this section, subject to the limitations of Section 8</w:t>
      </w:r>
      <w:r>
        <w:rPr>
          <w:color w:val="000000" w:themeColor="text1"/>
          <w:u w:val="single" w:color="000000" w:themeColor="text1"/>
        </w:rPr>
        <w:noBreakHyphen/>
      </w:r>
      <w:r w:rsidRPr="00460A4E">
        <w:rPr>
          <w:color w:val="000000" w:themeColor="text1"/>
          <w:u w:val="single" w:color="000000" w:themeColor="text1"/>
        </w:rPr>
        <w:t>13</w:t>
      </w:r>
      <w:r>
        <w:rPr>
          <w:color w:val="000000" w:themeColor="text1"/>
          <w:u w:val="single" w:color="000000" w:themeColor="text1"/>
        </w:rPr>
        <w:noBreakHyphen/>
      </w:r>
      <w:r w:rsidRPr="00460A4E">
        <w:rPr>
          <w:color w:val="000000" w:themeColor="text1"/>
          <w:u w:val="single" w:color="000000" w:themeColor="text1"/>
        </w:rPr>
        <w:t xml:space="preserve">320(9)(d). </w:t>
      </w:r>
      <w:r>
        <w:rPr>
          <w:color w:val="000000" w:themeColor="text1"/>
          <w:u w:val="single" w:color="000000" w:themeColor="text1"/>
        </w:rPr>
        <w:t xml:space="preserve"> This</w:t>
      </w:r>
      <w:r w:rsidRPr="00460A4E">
        <w:rPr>
          <w:color w:val="000000" w:themeColor="text1"/>
          <w:u w:val="single" w:color="000000" w:themeColor="text1"/>
        </w:rPr>
        <w:t xml:space="preserve"> request </w:t>
      </w:r>
      <w:r>
        <w:rPr>
          <w:color w:val="000000" w:themeColor="text1"/>
          <w:u w:val="single" w:color="000000" w:themeColor="text1"/>
        </w:rPr>
        <w:t>must</w:t>
      </w:r>
      <w:r w:rsidRPr="00460A4E">
        <w:rPr>
          <w:color w:val="000000" w:themeColor="text1"/>
          <w:u w:val="single" w:color="000000" w:themeColor="text1"/>
        </w:rPr>
        <w:t xml:space="preserve"> be for purposes of verifying campaign disclosure forms filed pursuant to Section 8</w:t>
      </w:r>
      <w:r>
        <w:rPr>
          <w:color w:val="000000" w:themeColor="text1"/>
          <w:u w:val="single" w:color="000000" w:themeColor="text1"/>
        </w:rPr>
        <w:noBreakHyphen/>
      </w:r>
      <w:r w:rsidRPr="00460A4E">
        <w:rPr>
          <w:color w:val="000000" w:themeColor="text1"/>
          <w:u w:val="single" w:color="000000" w:themeColor="text1"/>
        </w:rPr>
        <w:t>13</w:t>
      </w:r>
      <w:r>
        <w:rPr>
          <w:color w:val="000000" w:themeColor="text1"/>
          <w:u w:val="single" w:color="000000" w:themeColor="text1"/>
        </w:rPr>
        <w:noBreakHyphen/>
      </w:r>
      <w:r w:rsidRPr="00460A4E">
        <w:rPr>
          <w:color w:val="000000" w:themeColor="text1"/>
          <w:u w:val="single" w:color="000000" w:themeColor="text1"/>
        </w:rPr>
        <w:t xml:space="preserve">1308. </w:t>
      </w:r>
      <w:r>
        <w:rPr>
          <w:color w:val="000000" w:themeColor="text1"/>
          <w:u w:val="single" w:color="000000" w:themeColor="text1"/>
        </w:rPr>
        <w:t xml:space="preserve"> </w:t>
      </w:r>
      <w:r w:rsidRPr="00460A4E">
        <w:rPr>
          <w:color w:val="000000" w:themeColor="text1"/>
          <w:u w:val="single" w:color="000000" w:themeColor="text1"/>
        </w:rPr>
        <w:t>A candidate, committee, or ballot measure committee must comply with a written request from an appropriate supervisory office within thirty days.</w:t>
      </w:r>
      <w:r w:rsidRPr="00460A4E">
        <w:rPr>
          <w:color w:val="000000" w:themeColor="text1"/>
          <w:u w:color="000000" w:themeColor="text1"/>
        </w:rPr>
        <w:t>”</w:t>
      </w:r>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0489">
        <w:t>4</w:t>
      </w:r>
      <w:r>
        <w:t>.</w:t>
      </w:r>
      <w:r>
        <w:tab/>
        <w:t>This act takes effect upon approval by the Governor.</w:t>
      </w:r>
    </w:p>
    <w:p w:rsidR="00B3463E" w:rsidRDefault="0010776B" w:rsidP="00E3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7E27" w:rsidRDefault="00E37E27" w:rsidP="00E37E27">
      <w:pPr>
        <w:suppressAutoHyphens/>
      </w:pPr>
    </w:p>
    <w:sectPr w:rsidR="00E37E27" w:rsidSect="000B62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BE2" w:rsidRDefault="00D45BE2" w:rsidP="009F0C77">
      <w:r>
        <w:separator/>
      </w:r>
    </w:p>
  </w:endnote>
  <w:endnote w:type="continuationSeparator" w:id="0">
    <w:p w:rsidR="00D45BE2" w:rsidRDefault="00D45B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7BE6A8-FACC-4C22-84AF-EC55F5739B6D}"/>
    <w:embedBold r:id="rId2" w:fontKey="{3B020565-97AA-4456-9057-92D7F9831041}"/>
  </w:font>
  <w:font w:name="Calibri">
    <w:panose1 w:val="020F0502020204030204"/>
    <w:charset w:val="00"/>
    <w:family w:val="swiss"/>
    <w:pitch w:val="variable"/>
    <w:sig w:usb0="E10002FF" w:usb1="4000ACFF" w:usb2="00000009" w:usb3="00000000" w:csb0="0000019F" w:csb1="00000000"/>
    <w:embedRegular r:id="rId3" w:fontKey="{B72B5402-4569-4AA7-871B-A8B5EFDC51F9}"/>
  </w:font>
  <w:font w:name="Segoe UI">
    <w:panose1 w:val="020B0502040204020203"/>
    <w:charset w:val="00"/>
    <w:family w:val="swiss"/>
    <w:pitch w:val="variable"/>
    <w:sig w:usb0="E10022FF" w:usb1="C000E47F" w:usb2="00000029" w:usb3="00000000" w:csb0="000001DF" w:csb1="00000000"/>
    <w:embedRegular r:id="rId4" w:fontKey="{367300D5-B2F6-460B-801E-377A4CE7DB94}"/>
  </w:font>
  <w:font w:name="Cambria">
    <w:panose1 w:val="02040503050406030204"/>
    <w:charset w:val="00"/>
    <w:family w:val="roman"/>
    <w:pitch w:val="variable"/>
    <w:sig w:usb0="E00002FF" w:usb1="400004FF" w:usb2="00000000" w:usb3="00000000" w:csb0="0000019F" w:csb1="00000000"/>
    <w:embedRegular r:id="rId5" w:fontKey="{0B41BB10-1F40-4F71-97F5-791D475CDE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3E" w:rsidRPr="00FF45CF" w:rsidRDefault="00FF45CF" w:rsidP="00FF45CF">
    <w:pPr>
      <w:pStyle w:val="Footer"/>
      <w:tabs>
        <w:tab w:val="clear" w:pos="4680"/>
        <w:tab w:val="clear" w:pos="9360"/>
        <w:tab w:val="center" w:pos="2995"/>
      </w:tabs>
      <w:spacing w:before="120"/>
    </w:pPr>
    <w:r>
      <w:t>[3194</w:t>
    </w:r>
    <w:r w:rsidR="000B62DD">
      <w:t>-</w:t>
    </w:r>
    <w:r w:rsidR="000B62DD">
      <w:fldChar w:fldCharType="begin"/>
    </w:r>
    <w:r w:rsidR="000B62DD">
      <w:instrText xml:space="preserve"> PAGE  \* MERGEFORMAT </w:instrText>
    </w:r>
    <w:r w:rsidR="000B62DD">
      <w:fldChar w:fldCharType="separate"/>
    </w:r>
    <w:r w:rsidR="00E37E27">
      <w:rPr>
        <w:noProof/>
      </w:rPr>
      <w:t>1</w:t>
    </w:r>
    <w:r w:rsidR="000B62DD">
      <w:fldChar w:fldCharType="end"/>
    </w:r>
    <w:r w:rsidR="000B62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2DD" w:rsidRPr="00FF45CF" w:rsidRDefault="000B62DD" w:rsidP="00FF45CF">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E37E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BE2" w:rsidRDefault="00D45BE2" w:rsidP="009F0C77">
      <w:r>
        <w:separator/>
      </w:r>
    </w:p>
  </w:footnote>
  <w:footnote w:type="continuationSeparator" w:id="0">
    <w:p w:rsidR="00D45BE2" w:rsidRDefault="00D45B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1ZW15"/>
    <w:docVar w:name="CoverBillType" w:val="b"/>
    <w:docVar w:name="docpath" w:val="L:\Council\bills\GGS\22691ZW15.DOCX"/>
    <w:docVar w:name="dvBillNumber" w:val="3194"/>
    <w:docVar w:name="dvBillNumberPrefix" w:val="H. "/>
    <w:docVar w:name="dvOriginalBody" w:val="House"/>
    <w:docVar w:name="dvSteno" w:val="GGS"/>
    <w:docVar w:name="NameofBody" w:val="h"/>
    <w:docVar w:name="vgroup2" w:val="Council"/>
  </w:docVars>
  <w:rsids>
    <w:rsidRoot w:val="00D45BE2"/>
    <w:rsid w:val="00011869"/>
    <w:rsid w:val="00015CD6"/>
    <w:rsid w:val="0008058E"/>
    <w:rsid w:val="000953F5"/>
    <w:rsid w:val="000B62DD"/>
    <w:rsid w:val="000E1785"/>
    <w:rsid w:val="000F40FA"/>
    <w:rsid w:val="0010776B"/>
    <w:rsid w:val="00133E66"/>
    <w:rsid w:val="001435A3"/>
    <w:rsid w:val="001D08F2"/>
    <w:rsid w:val="001D525B"/>
    <w:rsid w:val="001D7F4F"/>
    <w:rsid w:val="002321B6"/>
    <w:rsid w:val="00250967"/>
    <w:rsid w:val="002543C8"/>
    <w:rsid w:val="00284AAE"/>
    <w:rsid w:val="002C0489"/>
    <w:rsid w:val="002E5912"/>
    <w:rsid w:val="00301B21"/>
    <w:rsid w:val="00325348"/>
    <w:rsid w:val="0032732C"/>
    <w:rsid w:val="00336AD0"/>
    <w:rsid w:val="0037079A"/>
    <w:rsid w:val="003D01E8"/>
    <w:rsid w:val="003E5288"/>
    <w:rsid w:val="003F6D79"/>
    <w:rsid w:val="0041760A"/>
    <w:rsid w:val="00417C01"/>
    <w:rsid w:val="00462081"/>
    <w:rsid w:val="004809EE"/>
    <w:rsid w:val="004E7D54"/>
    <w:rsid w:val="005273C6"/>
    <w:rsid w:val="00530A69"/>
    <w:rsid w:val="00537F20"/>
    <w:rsid w:val="00545593"/>
    <w:rsid w:val="00577C6C"/>
    <w:rsid w:val="005C2FE2"/>
    <w:rsid w:val="005E2BC9"/>
    <w:rsid w:val="00605102"/>
    <w:rsid w:val="006215AA"/>
    <w:rsid w:val="006913C9"/>
    <w:rsid w:val="0069470D"/>
    <w:rsid w:val="006C7041"/>
    <w:rsid w:val="00734F00"/>
    <w:rsid w:val="007A70AE"/>
    <w:rsid w:val="007C1092"/>
    <w:rsid w:val="008362E8"/>
    <w:rsid w:val="008A1768"/>
    <w:rsid w:val="008F0F33"/>
    <w:rsid w:val="008F4429"/>
    <w:rsid w:val="0094021A"/>
    <w:rsid w:val="00994076"/>
    <w:rsid w:val="009A32E2"/>
    <w:rsid w:val="009B44AF"/>
    <w:rsid w:val="009C6A0B"/>
    <w:rsid w:val="009F0C77"/>
    <w:rsid w:val="009F4DD1"/>
    <w:rsid w:val="00A41684"/>
    <w:rsid w:val="00A64DA2"/>
    <w:rsid w:val="00A64E80"/>
    <w:rsid w:val="00A72BCD"/>
    <w:rsid w:val="00A741D9"/>
    <w:rsid w:val="00A833AB"/>
    <w:rsid w:val="00A9741D"/>
    <w:rsid w:val="00AD4B17"/>
    <w:rsid w:val="00B3463E"/>
    <w:rsid w:val="00B412D4"/>
    <w:rsid w:val="00BE3C22"/>
    <w:rsid w:val="00C0345E"/>
    <w:rsid w:val="00C3483A"/>
    <w:rsid w:val="00C74E9D"/>
    <w:rsid w:val="00C82FD3"/>
    <w:rsid w:val="00C92819"/>
    <w:rsid w:val="00CC6B7B"/>
    <w:rsid w:val="00CD2089"/>
    <w:rsid w:val="00D01437"/>
    <w:rsid w:val="00D45BE2"/>
    <w:rsid w:val="00D73A67"/>
    <w:rsid w:val="00D970A9"/>
    <w:rsid w:val="00DF3845"/>
    <w:rsid w:val="00E362AD"/>
    <w:rsid w:val="00E37E27"/>
    <w:rsid w:val="00E41911"/>
    <w:rsid w:val="00E92EEF"/>
    <w:rsid w:val="00F24442"/>
    <w:rsid w:val="00F50AE3"/>
    <w:rsid w:val="00F67CF1"/>
    <w:rsid w:val="00F840F0"/>
    <w:rsid w:val="00FB0D0D"/>
    <w:rsid w:val="00FB43B4"/>
    <w:rsid w:val="00FF4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D2DFA-B24D-4C61-B4FA-EF1AA056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4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4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58F22-71E5-4347-86D7-38A49BDE7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4</Pages>
  <Words>716</Words>
  <Characters>3775</Characters>
  <Application>Microsoft Office Word</Application>
  <DocSecurity>0</DocSecurity>
  <Lines>119</Lines>
  <Paragraphs>36</Paragraphs>
  <ScaleCrop>false</ScaleCrop>
  <Company>LPITS</Company>
  <LinksUpToDate>false</LinksUpToDate>
  <CharactersWithSpaces>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3194 Text of Previous Version (Feb. 4, 2015) - South Carolina Legislature Online</dc:title>
  <dc:creator>GloriaShackelford</dc:creator>
  <cp:lastModifiedBy>Miriam Cook</cp:lastModifiedBy>
  <cp:revision>2</cp:revision>
  <cp:lastPrinted>2014-12-16T18:55:00Z</cp:lastPrinted>
  <dcterms:created xsi:type="dcterms:W3CDTF">2015-02-04T23:56:00Z</dcterms:created>
  <dcterms:modified xsi:type="dcterms:W3CDTF">2015-02-04T23:56:00Z</dcterms:modified>
</cp:coreProperties>
</file>