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10C" w:rsidRDefault="002B310C"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p>
    <w:p w:rsidR="00C35E94" w:rsidRDefault="00C35E94"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1.</w:t>
      </w:r>
      <w:r w:rsidRPr="008C7C2D">
        <w:rPr>
          <w:color w:val="000000" w:themeColor="text1"/>
          <w:u w:color="000000" w:themeColor="text1"/>
        </w:rPr>
        <w:tab/>
        <w:t>Article 3, Chapter 43, Title 12 of the 1976 Code is amended by adding:</w:t>
      </w:r>
    </w:p>
    <w:p w:rsidR="00A3438E"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A6CB8" w:rsidRPr="008C7C2D">
        <w:rPr>
          <w:color w:val="000000" w:themeColor="text1"/>
          <w:u w:color="000000" w:themeColor="text1"/>
        </w:rPr>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222.</w:t>
      </w:r>
      <w:r w:rsidR="00BA6CB8" w:rsidRPr="008C7C2D">
        <w:rPr>
          <w:color w:val="000000" w:themeColor="text1"/>
          <w:u w:color="000000" w:themeColor="text1"/>
        </w:rPr>
        <w:tab/>
        <w:t>Notwithstanding the provisions of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220(d)(4), the property tax value, as defined in Section 12</w:t>
      </w:r>
      <w:r w:rsidR="00C35E94">
        <w:rPr>
          <w:color w:val="000000" w:themeColor="text1"/>
          <w:u w:color="000000" w:themeColor="text1"/>
        </w:rPr>
        <w:noBreakHyphen/>
      </w:r>
      <w:r w:rsidR="00BA6CB8" w:rsidRPr="008C7C2D">
        <w:rPr>
          <w:color w:val="000000" w:themeColor="text1"/>
          <w:u w:color="000000" w:themeColor="text1"/>
        </w:rPr>
        <w:t>37</w:t>
      </w:r>
      <w:r w:rsidR="00C35E94">
        <w:rPr>
          <w:color w:val="000000" w:themeColor="text1"/>
          <w:u w:color="000000" w:themeColor="text1"/>
        </w:rPr>
        <w:noBreakHyphen/>
      </w:r>
      <w:r w:rsidR="00BA6CB8" w:rsidRPr="008C7C2D">
        <w:rPr>
          <w:color w:val="000000" w:themeColor="text1"/>
          <w:u w:color="000000" w:themeColor="text1"/>
        </w:rPr>
        <w:t xml:space="preserve">3135, of that portion of a parcel of real property changed from agricultural use for purposes of residential or commercial development that is designated on the recorded development plat of the parcel as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if it equals ten percent or more of the area included within the outermost boundaries of the residential or commercial development must be valued according to its new green space or open space use for all purposes in calculating roll</w:t>
      </w:r>
      <w:r w:rsidR="00C35E94">
        <w:rPr>
          <w:color w:val="000000" w:themeColor="text1"/>
          <w:u w:color="000000" w:themeColor="text1"/>
        </w:rPr>
        <w:noBreakHyphen/>
      </w:r>
      <w:r w:rsidR="00BA6CB8" w:rsidRPr="008C7C2D">
        <w:rPr>
          <w:color w:val="000000" w:themeColor="text1"/>
          <w:u w:color="000000" w:themeColor="text1"/>
        </w:rPr>
        <w:t xml:space="preserve">back tax due on the parcel.  As used in this section only, and without regard to any other definitions for those terms in state law or regulations,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and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have the meaning provided for those terms by the United States Environmental Protection Agency.  The county assessor shall value the designated green space or open space in the manner that other property dedicated to that use is valued and that value must be used in the calculation of roll</w:t>
      </w:r>
      <w:r w:rsidR="00C35E94">
        <w:rPr>
          <w:color w:val="000000" w:themeColor="text1"/>
          <w:u w:color="000000" w:themeColor="text1"/>
        </w:rPr>
        <w:noBreakHyphen/>
      </w:r>
      <w:r w:rsidR="00BA6CB8" w:rsidRPr="008C7C2D">
        <w:rPr>
          <w:color w:val="000000" w:themeColor="text1"/>
          <w:u w:color="000000" w:themeColor="text1"/>
        </w:rPr>
        <w:t>back tax on the parcel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 xml:space="preserve">220(d)(4).  Appeals from the valuation of the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may be taken in the manner provided by law for appeals of value of real property appraised by county assessors.”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 xml:space="preserve">back taxes, in an amount equal to the difference, if any, between the taxes paid or payable </w:t>
      </w:r>
      <w:r w:rsidRPr="008C7C2D">
        <w:rPr>
          <w:color w:val="000000" w:themeColor="text1"/>
          <w:u w:color="000000" w:themeColor="text1"/>
        </w:rPr>
        <w:lastRenderedPageBreak/>
        <w:t>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back taxes chargeable on real property which has undergone a 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3.</w:t>
      </w:r>
      <w:r w:rsidRPr="008C7C2D">
        <w:rPr>
          <w:color w:val="000000" w:themeColor="text1"/>
          <w:u w:color="000000" w:themeColor="text1"/>
        </w:rPr>
        <w:tab/>
        <w:t>The provisions of SECTIONS 1 and 2 of this act apply for eligible real property changed from agric</w:t>
      </w:r>
      <w:r>
        <w:rPr>
          <w:color w:val="000000" w:themeColor="text1"/>
          <w:u w:color="000000" w:themeColor="text1"/>
        </w:rPr>
        <w:t>ultural use valuation after 2014</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half of one percent a month, but in no case less than thirty dollars nor more than 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5.</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amended by this act, applies prospectively and also retroactively to all property tax years open for the assessment of delinquent property taxes and penalties, including penalties assessed pursuant to 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6.</w:t>
      </w:r>
      <w:r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10C" w:rsidRDefault="002B310C" w:rsidP="002B310C">
      <w:pPr>
        <w:suppressAutoHyphens/>
      </w:pPr>
    </w:p>
    <w:sectPr w:rsidR="002B310C" w:rsidSect="002B3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67EADA-EE1E-4C96-9D60-7DA0B7A6A983}"/>
    <w:embedBold r:id="rId2" w:fontKey="{87EA4B16-5F7B-4FAC-BE8C-2A3D3499CE04}"/>
  </w:font>
  <w:font w:name="Calibri">
    <w:panose1 w:val="020F0502020204030204"/>
    <w:charset w:val="00"/>
    <w:family w:val="swiss"/>
    <w:pitch w:val="variable"/>
    <w:sig w:usb0="E10002FF" w:usb1="4000ACFF" w:usb2="00000009" w:usb3="00000000" w:csb0="0000019F" w:csb1="00000000"/>
    <w:embedRegular r:id="rId3" w:fontKey="{07C7C3A3-9552-4AFB-8098-9F8BAD206B56}"/>
  </w:font>
  <w:font w:name="Segoe UI">
    <w:panose1 w:val="020B0502040204020203"/>
    <w:charset w:val="00"/>
    <w:family w:val="swiss"/>
    <w:pitch w:val="variable"/>
    <w:sig w:usb0="E10022FF" w:usb1="C000E47F" w:usb2="00000029" w:usb3="00000000" w:csb0="000001DF" w:csb1="00000000"/>
    <w:embedRegular r:id="rId4" w:fontKey="{C5FE7C94-393E-4F49-AF28-DB7DF80DD910}"/>
  </w:font>
  <w:font w:name="Cambria">
    <w:panose1 w:val="02040503050406030204"/>
    <w:charset w:val="00"/>
    <w:family w:val="roman"/>
    <w:pitch w:val="variable"/>
    <w:sig w:usb0="E00002FF" w:usb1="400004FF" w:usb2="00000000" w:usb3="00000000" w:csb0="0000019F" w:csb1="00000000"/>
    <w:embedRegular r:id="rId5" w:fontKey="{41E1585A-587F-47E4-BA3F-A24AFE177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E7D54"/>
    <w:rsid w:val="00526391"/>
    <w:rsid w:val="005273C6"/>
    <w:rsid w:val="00530A69"/>
    <w:rsid w:val="00545593"/>
    <w:rsid w:val="00577C6C"/>
    <w:rsid w:val="005C2FE2"/>
    <w:rsid w:val="005E2BC9"/>
    <w:rsid w:val="00605102"/>
    <w:rsid w:val="006215AA"/>
    <w:rsid w:val="006913C9"/>
    <w:rsid w:val="0069470D"/>
    <w:rsid w:val="00707762"/>
    <w:rsid w:val="00734F00"/>
    <w:rsid w:val="007A70AE"/>
    <w:rsid w:val="008362E8"/>
    <w:rsid w:val="008377EC"/>
    <w:rsid w:val="008A1768"/>
    <w:rsid w:val="008F0F33"/>
    <w:rsid w:val="008F4429"/>
    <w:rsid w:val="0094021A"/>
    <w:rsid w:val="009B44AF"/>
    <w:rsid w:val="009C6A0B"/>
    <w:rsid w:val="009F0C77"/>
    <w:rsid w:val="009F4DD1"/>
    <w:rsid w:val="00A069C5"/>
    <w:rsid w:val="00A309CE"/>
    <w:rsid w:val="00A3438E"/>
    <w:rsid w:val="00A41684"/>
    <w:rsid w:val="00A64E80"/>
    <w:rsid w:val="00A72BCD"/>
    <w:rsid w:val="00A741D9"/>
    <w:rsid w:val="00A833AB"/>
    <w:rsid w:val="00A9741D"/>
    <w:rsid w:val="00AD4B17"/>
    <w:rsid w:val="00B412D4"/>
    <w:rsid w:val="00BA4D9B"/>
    <w:rsid w:val="00BA6CB8"/>
    <w:rsid w:val="00BE3C22"/>
    <w:rsid w:val="00BF0D09"/>
    <w:rsid w:val="00C0345E"/>
    <w:rsid w:val="00C3483A"/>
    <w:rsid w:val="00C35E94"/>
    <w:rsid w:val="00C74E9D"/>
    <w:rsid w:val="00C82FD3"/>
    <w:rsid w:val="00C92819"/>
    <w:rsid w:val="00CC6B7B"/>
    <w:rsid w:val="00CD2089"/>
    <w:rsid w:val="00D127B8"/>
    <w:rsid w:val="00D73A67"/>
    <w:rsid w:val="00D970A9"/>
    <w:rsid w:val="00DF3845"/>
    <w:rsid w:val="00E26309"/>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892B0-758E-4886-B1A1-C8ED2818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ACA9DC26.dotm</Template>
  <TotalTime>0</TotalTime>
  <Pages>4</Pages>
  <Words>1082</Words>
  <Characters>5440</Characters>
  <Application>Microsoft Office Word</Application>
  <DocSecurity>0</DocSecurity>
  <Lines>135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(Jan. 14, 2015) - South Carolina Legislature Online</dc:title>
  <dc:creator>%USERNAME%</dc:creator>
  <cp:lastModifiedBy>N Cumfer</cp:lastModifiedBy>
  <cp:revision>2</cp:revision>
  <cp:lastPrinted>2015-01-13T21:01:00Z</cp:lastPrinted>
  <dcterms:created xsi:type="dcterms:W3CDTF">2015-01-14T15:49:00Z</dcterms:created>
  <dcterms:modified xsi:type="dcterms:W3CDTF">2015-01-14T15:49:00Z</dcterms:modified>
</cp:coreProperties>
</file>