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B2F"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505B6" w:rsidRP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Pr="007505B6" w:rsidRDefault="007505B6" w:rsidP="007505B6">
      <w:pPr>
        <w:tabs>
          <w:tab w:val="right" w:pos="5933"/>
        </w:tabs>
      </w:pPr>
      <w:r>
        <w:tab/>
      </w:r>
      <w:r>
        <w:rPr>
          <w:b/>
          <w:sz w:val="36"/>
        </w:rPr>
        <w:t>H. 3343</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Toole, Long, McCoy, Knight, R.L. Brown, Pope, Collins, Bingham, Stavrinakis, Yow and Erickson</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7505B6" w:rsidRP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Default="007505B6"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505B6" w:rsidSect="00A61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D6C" w:rsidRDefault="00B24D6C"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2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D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7F07AF" w:rsidP="004B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3</w:t>
      </w:r>
      <w:r>
        <w:noBreakHyphen/>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bookmarkEnd w:id="1"/>
    </w:p>
    <w:p w:rsidR="0010776B" w:rsidRDefault="00750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05B6" w:rsidRDefault="00750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SECTION</w:t>
      </w:r>
      <w:r w:rsidRPr="00A967F1">
        <w:tab/>
        <w:t>1.</w:t>
      </w:r>
      <w:r w:rsidRPr="00A967F1">
        <w:tab/>
        <w:t>Section 47</w:t>
      </w:r>
      <w:r w:rsidRPr="00A967F1">
        <w:noBreakHyphen/>
        <w:t>3</w:t>
      </w:r>
      <w:r w:rsidRPr="00A967F1">
        <w:noBreakHyphen/>
        <w:t>420 of the 1976 Code, as last amended by Act 293 of 2000, is further amended to read:</w:t>
      </w:r>
    </w:p>
    <w:p w:rsid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“Section 47</w:t>
      </w:r>
      <w:r w:rsidRPr="00A967F1">
        <w:noBreakHyphen/>
        <w:t>3</w:t>
      </w:r>
      <w:r w:rsidRPr="00A967F1">
        <w:noBreakHyphen/>
        <w:t>420.</w:t>
      </w:r>
      <w:r w:rsidRPr="00A967F1">
        <w:tab/>
        <w:t>(A)</w:t>
      </w:r>
      <w:r w:rsidRPr="00A967F1">
        <w:tab/>
        <w:t xml:space="preserve">Only the following methods of euthanasia may be used to kill animals impounded or quarantined in animal shelters, and the procedure applicable to the method selected must be strictly followed: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(1)</w:t>
      </w:r>
      <w:r w:rsidRPr="00A967F1">
        <w:tab/>
      </w:r>
      <w:r w:rsidRPr="00A967F1">
        <w:rPr>
          <w:strike/>
        </w:rPr>
        <w:t>Barbituric acid derivatives</w:t>
      </w:r>
      <w:r w:rsidRPr="00A967F1">
        <w:t xml:space="preserve"> </w:t>
      </w:r>
      <w:r w:rsidRPr="00A967F1">
        <w:rPr>
          <w:u w:val="single"/>
        </w:rPr>
        <w:t>Sodium pentobarbital or a derivative of it by means of</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(a)</w:t>
      </w:r>
      <w:r w:rsidRPr="00A967F1">
        <w:tab/>
        <w:t xml:space="preserve">intravenous </w:t>
      </w:r>
      <w:r w:rsidRPr="00A967F1">
        <w:rPr>
          <w:strike/>
        </w:rPr>
        <w:t>or intracardial</w:t>
      </w:r>
      <w:r w:rsidRPr="00A967F1">
        <w:t xml:space="preserve"> injection </w:t>
      </w:r>
      <w:r w:rsidRPr="00A967F1">
        <w:rPr>
          <w:u w:val="single"/>
        </w:rPr>
        <w:t>by hypodermic needle</w:t>
      </w:r>
      <w:r w:rsidRPr="00A967F1">
        <w:t xml:space="preserve"> of a lethal solution;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(b)</w:t>
      </w:r>
      <w:r w:rsidRPr="00A967F1">
        <w:tab/>
        <w:t xml:space="preserve">intraperitoneal injection </w:t>
      </w:r>
      <w:r w:rsidRPr="00A967F1">
        <w:rPr>
          <w:u w:val="single"/>
        </w:rPr>
        <w:t>by hypodermic needle</w:t>
      </w:r>
      <w:r w:rsidRPr="00A967F1">
        <w:t xml:space="preserve"> of lethal solution </w:t>
      </w:r>
      <w:r w:rsidRPr="00A967F1">
        <w:rPr>
          <w:u w:val="single"/>
        </w:rPr>
        <w:t>as a last resort only</w:t>
      </w:r>
      <w:r w:rsidRPr="00A967F1">
        <w:t xml:space="preserve"> when location of an injection into the vein is difficult or impossible;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(c)</w:t>
      </w:r>
      <w:r w:rsidRPr="00A967F1">
        <w:tab/>
      </w:r>
      <w:r w:rsidRPr="00A967F1">
        <w:rPr>
          <w:strike/>
        </w:rPr>
        <w:t xml:space="preserve">oral ingestion of powdered barbituric acid derivatives in capsules mixed with food or by manual administration of a </w:t>
      </w:r>
      <w:r w:rsidRPr="00A967F1">
        <w:rPr>
          <w:strike/>
        </w:rPr>
        <w:lastRenderedPageBreak/>
        <w:t>solution</w:t>
      </w:r>
      <w:r w:rsidRPr="00A967F1">
        <w:t xml:space="preserve"> </w:t>
      </w:r>
      <w:r w:rsidRPr="00A967F1">
        <w:rPr>
          <w:u w:val="single"/>
        </w:rPr>
        <w:t>intracardial injection by hypodermic needle if the dog or cat is unconscious</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(d)</w:t>
      </w:r>
      <w:r w:rsidRPr="00A967F1">
        <w:tab/>
        <w:t xml:space="preserve">intravenous injection of these solutions must be specifically injected according to the directions of the manufacturers for intravenous injections;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(e)</w:t>
      </w:r>
      <w:r w:rsidRPr="00A967F1">
        <w:tab/>
      </w:r>
      <w:r w:rsidRPr="00A967F1">
        <w:rPr>
          <w:strike/>
        </w:rPr>
        <w:t>intracardial injection of these solutions must only be administered if the animal has been tranquilized with an approved, humane substance and the animal, at the time of the intracardial injection, is anesthetized or comatose</w:t>
      </w:r>
      <w:r w:rsidRPr="00A967F1">
        <w:t xml:space="preserve"> </w:t>
      </w:r>
      <w:r w:rsidRPr="00A967F1">
        <w:rPr>
          <w:u w:val="single"/>
        </w:rPr>
        <w:t>an animal may be sedated with an approved and humane substance before euthanasia is performed</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(f)</w:t>
      </w:r>
      <w:r w:rsidRPr="00A967F1">
        <w:tab/>
        <w:t xml:space="preserve">the solutions may not be administered via </w:t>
      </w:r>
      <w:r w:rsidRPr="00A967F1">
        <w:rPr>
          <w:strike/>
        </w:rPr>
        <w:t>intraperitoneal,</w:t>
      </w:r>
      <w:r w:rsidRPr="00A967F1">
        <w:t xml:space="preserve"> intrathoracic, intrapulmonary, subcutaneous, intramuscular, intrarenal, intrasplenic, or intrathecal routes or in any other nonvascular injection route except as provided above;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rPr>
          <w:szCs w:val="52"/>
        </w:rPr>
        <w:tab/>
      </w:r>
      <w:r w:rsidRPr="00A967F1">
        <w:rPr>
          <w:szCs w:val="52"/>
        </w:rPr>
        <w:tab/>
      </w:r>
      <w:r w:rsidRPr="00A967F1">
        <w:rPr>
          <w:szCs w:val="52"/>
        </w:rPr>
        <w:tab/>
        <w:t>(g)</w:t>
      </w:r>
      <w:r w:rsidRPr="00A967F1">
        <w:rPr>
          <w:szCs w:val="52"/>
        </w:rPr>
        <w:tab/>
        <w:t xml:space="preserve">administration of injections must be done only by a licensed veterinarian or by a euthanasia technician or Department of Natural Resources </w:t>
      </w:r>
      <w:r w:rsidRPr="00A967F1">
        <w:rPr>
          <w:szCs w:val="36"/>
        </w:rPr>
        <w:t xml:space="preserve">employee, trained and certified for this purpose in a euthanasia training class taught by a licensed South Carolina veterinarian </w:t>
      </w:r>
      <w:r w:rsidRPr="00A967F1">
        <w:rPr>
          <w:szCs w:val="36"/>
          <w:u w:val="single"/>
        </w:rPr>
        <w:t xml:space="preserve">or an individual or entity approved by the State Board of </w:t>
      </w:r>
      <w:r w:rsidRPr="00A967F1">
        <w:rPr>
          <w:u w:val="single"/>
        </w:rPr>
        <w:t>Veterinary Examiners</w:t>
      </w:r>
      <w:r w:rsidRPr="00A967F1">
        <w:t xml:space="preserve">, which must include training in tranquilizing animals.  A person certified pursuant to this subitem must continue to maintain his proficiency by successfully completing a training course taught by a licensed South Carolina veterinarian </w:t>
      </w:r>
      <w:r w:rsidRPr="00A967F1">
        <w:rPr>
          <w:u w:val="single"/>
        </w:rPr>
        <w:t>or an individual or entity approved by the State Board of Veterinary Examiners</w:t>
      </w:r>
      <w:r w:rsidRPr="00A967F1">
        <w:t xml:space="preserve"> every five years;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(h)</w:t>
      </w:r>
      <w:r w:rsidRPr="00A967F1">
        <w:tab/>
        <w:t xml:space="preserve">all injections must be administered using an undamaged hypodermic needle of a size suitable for the size and species of animal;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t>(i)</w:t>
      </w:r>
      <w:r>
        <w:tab/>
      </w:r>
      <w:r w:rsidRPr="00A967F1">
        <w:tab/>
        <w:t xml:space="preserve">an animal shelter, governmental animal control agency, or the Department of Natural Resources (department) may obtain </w:t>
      </w:r>
      <w:r w:rsidRPr="00A967F1">
        <w:rPr>
          <w:strike/>
        </w:rPr>
        <w:t>a barbituric acid</w:t>
      </w:r>
      <w:r w:rsidRPr="00A967F1">
        <w:t xml:space="preserve"> </w:t>
      </w:r>
      <w:r w:rsidRPr="00A967F1">
        <w:rPr>
          <w:u w:val="single"/>
        </w:rPr>
        <w:t>sodium pentobarbital or a</w:t>
      </w:r>
      <w:r w:rsidRPr="00A967F1">
        <w:t xml:space="preserve"> derivative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w:t>
      </w:r>
      <w:r w:rsidRPr="00A967F1">
        <w:lastRenderedPageBreak/>
        <w:t>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Pr="00A967F1">
        <w:rPr>
          <w:u w:val="single"/>
        </w:rPr>
        <w:t>;</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r>
      <w:r w:rsidRPr="00A967F1">
        <w:rPr>
          <w:u w:val="single"/>
        </w:rPr>
        <w:t>(j)</w:t>
      </w:r>
      <w:r>
        <w:tab/>
      </w:r>
      <w:r>
        <w:tab/>
      </w:r>
      <w:r w:rsidRPr="00A967F1">
        <w:rPr>
          <w:u w:val="single"/>
        </w:rPr>
        <w:t>oral administration of sodium pentobarbital is permitted for the purpose of anesthetizing animals, provided a lethal dose of sodium pentobarbital is administered to euthanize the animal; and</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r>
      <w:r w:rsidRPr="00A967F1">
        <w:rPr>
          <w:u w:val="single"/>
        </w:rPr>
        <w:t>(k)</w:t>
      </w:r>
      <w:r w:rsidRPr="00A967F1">
        <w:tab/>
      </w:r>
      <w:r w:rsidRPr="00A967F1">
        <w:rPr>
          <w:u w:val="single"/>
        </w:rPr>
        <w:t>carbon monoxide gas, carbon dioxide gas, or other non</w:t>
      </w:r>
      <w:r w:rsidRPr="00A967F1">
        <w:rPr>
          <w:u w:val="single"/>
        </w:rPr>
        <w:noBreakHyphen/>
        <w:t>anesthetic inhalants may not be used to perform euthanasia</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967F1">
        <w:tab/>
        <w:t>(2)</w:t>
      </w:r>
      <w:r w:rsidRPr="00A967F1">
        <w:tab/>
      </w:r>
      <w:r w:rsidRPr="00A967F1">
        <w:rPr>
          <w:strike/>
        </w:rPr>
        <w:t xml:space="preserve">Carbon monoxide gas: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(a)</w:t>
      </w:r>
      <w:r>
        <w:tab/>
      </w:r>
      <w:r w:rsidRPr="00A967F1">
        <w:rPr>
          <w:strike/>
        </w:rPr>
        <w:t xml:space="preserve">dogs and cats, except animals under sixteen weeks of age, may be killed by bottled carbon monoxide gas administered in a tightly enclosed chamber.  The chamber must be equipped with: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rPr>
          <w:strike/>
        </w:rPr>
        <w:tab/>
      </w:r>
      <w:r>
        <w:tab/>
      </w:r>
      <w:r w:rsidRPr="00A967F1">
        <w:rPr>
          <w:strike/>
        </w:rPr>
        <w:t xml:space="preserve">internal lighting and a window providing direct visual surveillance of the collapse and death of any animal within the chamber;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the unit shall include an exhaust fan connected by a gas</w:t>
      </w:r>
      <w:r w:rsidRPr="00A967F1">
        <w:rPr>
          <w:strike/>
        </w:rPr>
        <w:noBreakHyphen/>
        <w:t>tight duct to the outdoors capable of completely evacuating the gas from the chamber before it is opened after each use, except that this provision does not apply to chambers located out</w:t>
      </w:r>
      <w:r w:rsidRPr="00A967F1">
        <w:rPr>
          <w:strike/>
        </w:rPr>
        <w:noBreakHyphen/>
        <w:t>of</w:t>
      </w:r>
      <w:r w:rsidRPr="00A967F1">
        <w:rPr>
          <w:strike/>
        </w:rPr>
        <w:noBreakHyphen/>
        <w:t xml:space="preserve">doors;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(iv)</w:t>
      </w:r>
      <w:r>
        <w:tab/>
      </w:r>
      <w:r w:rsidRPr="00A967F1">
        <w:rPr>
          <w:strike/>
        </w:rPr>
        <w:t xml:space="preserve">animals must be left in the chamber for a period of no less than fifteen minutes from the time the gas concentration throughout the chamber reaches six percent.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(b)</w:t>
      </w:r>
      <w:r>
        <w:tab/>
      </w:r>
      <w:r w:rsidRPr="00A967F1">
        <w:rPr>
          <w:strike/>
        </w:rPr>
        <w:t xml:space="preserve">no person may euthanize an animal by gas emitted from any engine exhaust system.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(c)</w:t>
      </w:r>
      <w:r>
        <w:tab/>
      </w:r>
      <w:r w:rsidRPr="00A967F1">
        <w:rPr>
          <w:strike/>
        </w:rPr>
        <w:t xml:space="preserve">in all instances where a carbon monoxide chamber is used: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tab/>
      </w:r>
      <w:r>
        <w:tab/>
      </w:r>
      <w:r w:rsidRPr="00A967F1">
        <w:rPr>
          <w:strike/>
        </w:rPr>
        <w:t xml:space="preserve">no incompatible or hostile animals, or animals of different species, may be placed in any chamber simultaneously;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every chamber must be thoroughly cleaned after the completion of each full cycle.  No live animals may be placed in the chamber with dead animals;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 xml:space="preserve">all animals must be examined by a veterinarian or certified euthanasia technician to ensure they are dead upon removal from the chamber;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6C0B2F">
        <w:tab/>
      </w:r>
      <w:r>
        <w:rPr>
          <w:strike/>
        </w:rPr>
        <w:t>(iv)</w:t>
      </w:r>
      <w:r>
        <w:tab/>
      </w:r>
      <w:r w:rsidRPr="00A967F1">
        <w:rPr>
          <w:strike/>
        </w:rPr>
        <w:t xml:space="preserve">all chambers must be inspected quarterly by an independent, qualified technician who is thoroughly knowledgeable with the operation and maintenance of the particular euthanasia chamber being used;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r>
      <w:r>
        <w:tab/>
      </w:r>
      <w:r w:rsidRPr="006C0B2F">
        <w:tab/>
      </w:r>
      <w:r w:rsidRPr="00A967F1">
        <w:rPr>
          <w:strike/>
        </w:rPr>
        <w:t>(v)</w:t>
      </w:r>
      <w:r>
        <w:tab/>
      </w:r>
      <w:r w:rsidRPr="00A967F1">
        <w:rPr>
          <w:strike/>
        </w:rPr>
        <w:t>an operational guide and maintenance instructions must be displayed in the room with the euthanasia chamber.</w:t>
      </w:r>
      <w:r w:rsidRPr="00A967F1">
        <w:t xml:space="preserve"> </w:t>
      </w:r>
      <w:r w:rsidRPr="00A967F1">
        <w:rPr>
          <w:u w:val="single"/>
        </w:rPr>
        <w:t>A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carbon monoxide gas, carbon dioxide gas, or any substance which acts as a neuromuscular blocking agent may not be used on a dog or cat in lieu of sodium pentobarbital for euthanasia purposes.</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(3)</w:t>
      </w:r>
      <w:r w:rsidRPr="00A967F1">
        <w:tab/>
      </w:r>
      <w:r w:rsidRPr="00A967F1">
        <w:rPr>
          <w:strike/>
        </w:rPr>
        <w:t>Shooting:</w:t>
      </w:r>
      <w:r w:rsidRPr="00A967F1">
        <w:t xml:space="preserve">  Shooting may be used </w:t>
      </w:r>
      <w:r w:rsidRPr="00A967F1">
        <w:rPr>
          <w:u w:val="single"/>
        </w:rPr>
        <w:t>in a location other than a shelter</w:t>
      </w:r>
      <w:r w:rsidRPr="00A967F1">
        <w:t xml:space="preserve">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rPr>
          <w:u w:val="single"/>
        </w:rPr>
        <w:t>(4)</w:t>
      </w:r>
      <w:r w:rsidRPr="00A967F1">
        <w:tab/>
      </w:r>
      <w:r w:rsidRPr="00A967F1">
        <w:rPr>
          <w:u w:val="single"/>
        </w:rPr>
        <w:t>In cases of extraordinary circumstance where a dog or cat poses an extreme risk or danger to the veterinarian, physician, or lay person performing euthanasia, the person is allowed the use of any other substance or procedure that is necessary</w:t>
      </w:r>
      <w:bookmarkStart w:id="5" w:name="temp"/>
      <w:bookmarkEnd w:id="5"/>
      <w:r w:rsidRPr="00A967F1">
        <w:rPr>
          <w:u w:val="single"/>
        </w:rPr>
        <w:t xml:space="preserve"> to perform euthanasia on a dangerous dog or cat.</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(B)</w:t>
      </w:r>
      <w:r w:rsidRPr="00A967F1">
        <w:tab/>
        <w:t>In any of the previously listed methods, an animal may not be left unattended between the time euthanasia procedures have commenced and the time death occurs, and the animal’s body may not be disposed of until death is confirmed by a certified euthanasia technician.</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rPr>
          <w:u w:val="single"/>
        </w:rPr>
        <w:t>(C)</w:t>
      </w:r>
      <w:r w:rsidRPr="00A967F1">
        <w:tab/>
      </w:r>
      <w:r w:rsidRPr="00A967F1">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Pr="00A967F1">
        <w:t>”</w:t>
      </w:r>
    </w:p>
    <w:p w:rsid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67F1">
        <w:t>SECTION</w:t>
      </w:r>
      <w:r w:rsidRPr="00A967F1">
        <w:tab/>
        <w:t>2.</w:t>
      </w:r>
      <w:r w:rsidRPr="00A967F1">
        <w:tab/>
        <w:t>This act takes effect upon approval by the Governor.</w:t>
      </w:r>
    </w:p>
    <w:p w:rsidR="00B22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D6B" w:rsidRDefault="006C6D6B" w:rsidP="006C6D6B">
      <w:pPr>
        <w:suppressAutoHyphens/>
      </w:pPr>
    </w:p>
    <w:sectPr w:rsidR="006C6D6B" w:rsidSect="00A61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BE" w:rsidRDefault="00983DBE" w:rsidP="009F0C77">
      <w:r>
        <w:separator/>
      </w:r>
    </w:p>
  </w:endnote>
  <w:endnote w:type="continuationSeparator" w:id="0">
    <w:p w:rsidR="00983DBE" w:rsidRDefault="0098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8042F8-A77B-4999-9A54-84DC74E0F847}"/>
    <w:embedBold r:id="rId2" w:fontKey="{C80B50F0-217B-4DA9-957C-84A6A11C5AF5}"/>
  </w:font>
  <w:font w:name="Calibri">
    <w:panose1 w:val="020F0502020204030204"/>
    <w:charset w:val="00"/>
    <w:family w:val="swiss"/>
    <w:pitch w:val="variable"/>
    <w:sig w:usb0="E10002FF" w:usb1="4000ACFF" w:usb2="00000009" w:usb3="00000000" w:csb0="0000019F" w:csb1="00000000"/>
    <w:embedRegular r:id="rId3" w:fontKey="{FCDCE3C2-394F-40CA-AB3A-0F368B88F476}"/>
  </w:font>
  <w:font w:name="Segoe UI">
    <w:panose1 w:val="020B0502040204020203"/>
    <w:charset w:val="00"/>
    <w:family w:val="swiss"/>
    <w:pitch w:val="variable"/>
    <w:sig w:usb0="E10022FF" w:usb1="C000E47F" w:usb2="00000029" w:usb3="00000000" w:csb0="000001DF" w:csb1="00000000"/>
    <w:embedRegular r:id="rId4" w:fontKey="{D3246FE1-EC30-47B3-9072-D550B5472386}"/>
  </w:font>
  <w:font w:name="Cambria">
    <w:panose1 w:val="02040503050406030204"/>
    <w:charset w:val="00"/>
    <w:family w:val="roman"/>
    <w:pitch w:val="variable"/>
    <w:sig w:usb0="E00002FF" w:usb1="400004FF" w:usb2="00000000" w:usb3="00000000" w:csb0="0000019F" w:csb1="00000000"/>
    <w:embedRegular r:id="rId5" w:fontKey="{67B81D79-AEA3-4E62-8736-112A7F908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F7" w:rsidRPr="00B24D6C" w:rsidRDefault="00B24D6C" w:rsidP="00B24D6C">
    <w:pPr>
      <w:pStyle w:val="Footer"/>
      <w:tabs>
        <w:tab w:val="clear" w:pos="4680"/>
        <w:tab w:val="clear" w:pos="9360"/>
        <w:tab w:val="center" w:pos="2995"/>
      </w:tabs>
      <w:spacing w:before="120"/>
    </w:pPr>
    <w:r>
      <w:t>[3343</w:t>
    </w:r>
    <w:r w:rsidR="00A6134F">
      <w:t>-</w:t>
    </w:r>
    <w:r w:rsidR="00A6134F">
      <w:fldChar w:fldCharType="begin"/>
    </w:r>
    <w:r w:rsidR="00A6134F">
      <w:instrText xml:space="preserve"> PAGE  \* MERGEFORMAT </w:instrText>
    </w:r>
    <w:r w:rsidR="00A6134F">
      <w:fldChar w:fldCharType="separate"/>
    </w:r>
    <w:r w:rsidR="006C6D6B">
      <w:rPr>
        <w:noProof/>
      </w:rPr>
      <w:t>1</w:t>
    </w:r>
    <w:r w:rsidR="00A6134F">
      <w:fldChar w:fldCharType="end"/>
    </w:r>
    <w:r w:rsidR="00A613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4F" w:rsidRPr="00B24D6C" w:rsidRDefault="00A6134F" w:rsidP="00B24D6C">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6C6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BE" w:rsidRDefault="00983DBE" w:rsidP="009F0C77">
      <w:r>
        <w:separator/>
      </w:r>
    </w:p>
  </w:footnote>
  <w:footnote w:type="continuationSeparator" w:id="0">
    <w:p w:rsidR="00983DBE" w:rsidRDefault="0098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3AB15"/>
    <w:docVar w:name="CoverBillType" w:val="b"/>
    <w:docVar w:name="docpath" w:val="L:\Council\bills\AGM\18483AB15.DOCX"/>
    <w:docVar w:name="dvBillNumber" w:val="3343"/>
    <w:docVar w:name="dvBillNumberPrefix" w:val="H. "/>
    <w:docVar w:name="dvOriginalBody" w:val="House"/>
    <w:docVar w:name="dvSteno" w:val="AGM"/>
    <w:docVar w:name="NameofBody" w:val="h"/>
    <w:docVar w:name="vgroup2" w:val="Council"/>
  </w:docVars>
  <w:rsids>
    <w:rsidRoot w:val="00983DBE"/>
    <w:rsid w:val="00002F33"/>
    <w:rsid w:val="00011869"/>
    <w:rsid w:val="00015CD6"/>
    <w:rsid w:val="000D4071"/>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B23F7"/>
    <w:rsid w:val="004E7D54"/>
    <w:rsid w:val="005273C6"/>
    <w:rsid w:val="00530A69"/>
    <w:rsid w:val="00545593"/>
    <w:rsid w:val="00577C6C"/>
    <w:rsid w:val="005C2FE2"/>
    <w:rsid w:val="005D213A"/>
    <w:rsid w:val="005E2BC9"/>
    <w:rsid w:val="00605102"/>
    <w:rsid w:val="006215AA"/>
    <w:rsid w:val="006913C9"/>
    <w:rsid w:val="0069470D"/>
    <w:rsid w:val="006C0B2F"/>
    <w:rsid w:val="006C6D6B"/>
    <w:rsid w:val="00731619"/>
    <w:rsid w:val="00734F00"/>
    <w:rsid w:val="007505B6"/>
    <w:rsid w:val="007A70AE"/>
    <w:rsid w:val="007F07AF"/>
    <w:rsid w:val="00825138"/>
    <w:rsid w:val="008362E8"/>
    <w:rsid w:val="008A1768"/>
    <w:rsid w:val="008F0F33"/>
    <w:rsid w:val="008F4429"/>
    <w:rsid w:val="0094021A"/>
    <w:rsid w:val="00947D17"/>
    <w:rsid w:val="00983DBE"/>
    <w:rsid w:val="009B44AF"/>
    <w:rsid w:val="009C6A0B"/>
    <w:rsid w:val="009F0C77"/>
    <w:rsid w:val="009F4DD1"/>
    <w:rsid w:val="00A41684"/>
    <w:rsid w:val="00A6134F"/>
    <w:rsid w:val="00A64E80"/>
    <w:rsid w:val="00A72BCD"/>
    <w:rsid w:val="00A741D9"/>
    <w:rsid w:val="00A833AB"/>
    <w:rsid w:val="00A9741D"/>
    <w:rsid w:val="00AC66EA"/>
    <w:rsid w:val="00AD4B17"/>
    <w:rsid w:val="00B220F7"/>
    <w:rsid w:val="00B24D6C"/>
    <w:rsid w:val="00B412D4"/>
    <w:rsid w:val="00BE3C22"/>
    <w:rsid w:val="00C0345E"/>
    <w:rsid w:val="00C3483A"/>
    <w:rsid w:val="00C74E9D"/>
    <w:rsid w:val="00C82FD3"/>
    <w:rsid w:val="00C92819"/>
    <w:rsid w:val="00CA1B80"/>
    <w:rsid w:val="00CC6B7B"/>
    <w:rsid w:val="00CD2089"/>
    <w:rsid w:val="00CD2EAD"/>
    <w:rsid w:val="00D73A67"/>
    <w:rsid w:val="00D970A9"/>
    <w:rsid w:val="00DC786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DC8D-E67B-469E-9E26-419D7837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665FE-9269-4CE6-8AFC-7744736B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5</Pages>
  <Words>1344</Words>
  <Characters>7295</Characters>
  <Application>Microsoft Office Word</Application>
  <DocSecurity>0</DocSecurity>
  <Lines>186</Lines>
  <Paragraphs>45</Paragraphs>
  <ScaleCrop>false</ScaleCrop>
  <HeadingPairs>
    <vt:vector size="2" baseType="variant">
      <vt:variant>
        <vt:lpstr>Title</vt:lpstr>
      </vt:variant>
      <vt:variant>
        <vt:i4>1</vt:i4>
      </vt:variant>
    </vt:vector>
  </HeadingPairs>
  <TitlesOfParts>
    <vt:vector size="1" baseType="lpstr">
      <vt:lpstr>2015-2016 Bill 3343: Subject not yet available - South Carolina Legislature Online</vt:lpstr>
    </vt:vector>
  </TitlesOfParts>
  <Company>LPITS</Company>
  <LinksUpToDate>false</LinksUpToDate>
  <CharactersWithSpaces>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3343 Text of Previous Version (Apr. 23, 2015) - South Carolina Legislature Online</dc:title>
  <dc:creator>angiemorgan</dc:creator>
  <cp:lastModifiedBy>Miriam Cook</cp:lastModifiedBy>
  <cp:revision>2</cp:revision>
  <cp:lastPrinted>2015-04-22T22:11:00Z</cp:lastPrinted>
  <dcterms:created xsi:type="dcterms:W3CDTF">2015-04-23T23:17:00Z</dcterms:created>
  <dcterms:modified xsi:type="dcterms:W3CDTF">2015-04-23T23:17:00Z</dcterms:modified>
</cp:coreProperties>
</file>