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B10509"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6183" w:rsidRPr="001A1FED">
        <w:rPr>
          <w:color w:val="000000" w:themeColor="text1"/>
          <w:u w:color="000000" w:themeColor="text1"/>
        </w:rPr>
        <w:t>Section 2</w:t>
      </w:r>
      <w:r w:rsidR="00426183">
        <w:rPr>
          <w:color w:val="000000" w:themeColor="text1"/>
          <w:u w:color="000000" w:themeColor="text1"/>
        </w:rPr>
        <w:noBreakHyphen/>
      </w:r>
      <w:r w:rsidR="00426183" w:rsidRPr="001A1FED">
        <w:rPr>
          <w:color w:val="000000" w:themeColor="text1"/>
          <w:u w:color="000000" w:themeColor="text1"/>
        </w:rPr>
        <w:t>77</w:t>
      </w:r>
      <w:r w:rsidR="00426183">
        <w:rPr>
          <w:color w:val="000000" w:themeColor="text1"/>
          <w:u w:color="000000" w:themeColor="text1"/>
        </w:rPr>
        <w:noBreakHyphen/>
      </w:r>
      <w:r w:rsidR="00426183" w:rsidRPr="001A1FED">
        <w:rPr>
          <w:color w:val="000000" w:themeColor="text1"/>
          <w:u w:color="000000" w:themeColor="text1"/>
        </w:rPr>
        <w:t>15(1) of the 1976 Code, as last amended by Act 162 of 2005, is further amended to read:</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Pr="00426183">
        <w:rPr>
          <w:color w:val="000000" w:themeColor="text1"/>
          <w:u w:color="000000" w:themeColor="text1"/>
        </w:rPr>
        <w:t>‘</w:t>
      </w:r>
      <w:r w:rsidRPr="001A1FED">
        <w:rPr>
          <w:color w:val="000000" w:themeColor="text1"/>
          <w:u w:color="000000" w:themeColor="text1"/>
        </w:rPr>
        <w:t>Eligible institution</w:t>
      </w:r>
      <w:r w:rsidRPr="00426183">
        <w:rPr>
          <w:color w:val="000000" w:themeColor="text1"/>
          <w:u w:color="000000" w:themeColor="text1"/>
        </w:rPr>
        <w:t>’</w:t>
      </w:r>
      <w:r w:rsidRPr="001A1FED">
        <w:rPr>
          <w:color w:val="000000" w:themeColor="text1"/>
          <w:u w:color="000000" w:themeColor="text1"/>
        </w:rPr>
        <w:t xml:space="preserve"> means a four</w:t>
      </w:r>
      <w:r>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lastRenderedPageBreak/>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09"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w:t>
      </w:r>
      <w:r>
        <w:rPr>
          <w:color w:val="000000" w:themeColor="text1"/>
          <w:u w:color="000000" w:themeColor="text1"/>
        </w:rPr>
        <w:t>5</w:t>
      </w:r>
      <w:r>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E5E" w:rsidRDefault="00662E5E" w:rsidP="00662E5E">
      <w:pPr>
        <w:suppressAutoHyphens/>
      </w:pPr>
    </w:p>
    <w:sectPr w:rsidR="00662E5E" w:rsidSect="00662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7C39E-8AA0-4B0E-9EBE-0A5741FD298D}"/>
    <w:embedBold r:id="rId2" w:fontKey="{B0DA6D25-2A9D-4C53-AD09-CACECECDB577}"/>
  </w:font>
  <w:font w:name="Calibri">
    <w:panose1 w:val="020F0502020204030204"/>
    <w:charset w:val="00"/>
    <w:family w:val="swiss"/>
    <w:pitch w:val="variable"/>
    <w:sig w:usb0="E10002FF" w:usb1="4000ACFF" w:usb2="00000009" w:usb3="00000000" w:csb0="0000019F" w:csb1="00000000"/>
    <w:embedRegular r:id="rId3" w:fontKey="{9C528EB1-AA05-4BB3-AAB7-07B17B71BA10}"/>
  </w:font>
  <w:font w:name="Cambria">
    <w:panose1 w:val="02040503050406030204"/>
    <w:charset w:val="00"/>
    <w:family w:val="roman"/>
    <w:pitch w:val="variable"/>
    <w:sig w:usb0="E00002FF" w:usb1="400004FF" w:usb2="00000000" w:usb3="00000000" w:csb0="0000019F" w:csb1="00000000"/>
    <w:embedRegular r:id="rId4" w:fontKey="{1D0FD80F-DDAE-416F-B68B-EBAB88FA0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C6B7B"/>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640D-90AA-45DE-9FED-5F90CAFF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2</Pages>
  <Words>261</Words>
  <Characters>1371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(Feb. 5, 2015) - South Carolina Legislature Online</dc:title>
  <dc:creator>angiemorgan</dc:creator>
  <cp:lastModifiedBy>N Cumfer</cp:lastModifiedBy>
  <cp:revision>2</cp:revision>
  <dcterms:created xsi:type="dcterms:W3CDTF">2015-02-05T15:42:00Z</dcterms:created>
  <dcterms:modified xsi:type="dcterms:W3CDTF">2015-02-05T15:42:00Z</dcterms:modified>
</cp:coreProperties>
</file>