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Default="008C560E" w:rsidP="005254EA">
      <w:pPr>
        <w:tabs>
          <w:tab w:val="right" w:pos="5933"/>
        </w:tabs>
        <w:suppressAutoHyphens/>
        <w:jc w:val="both"/>
        <w:rPr>
          <w:rFonts w:eastAsia="Times New Roman"/>
        </w:rPr>
      </w:pPr>
      <w:r>
        <w:rPr>
          <w:rFonts w:eastAsia="Times New Roman"/>
        </w:rPr>
        <w:t>AMENDED</w:t>
      </w:r>
    </w:p>
    <w:p w:rsidR="008C560E" w:rsidRDefault="005D32D1" w:rsidP="005254EA">
      <w:pPr>
        <w:tabs>
          <w:tab w:val="right" w:pos="5933"/>
        </w:tabs>
        <w:suppressAutoHyphens/>
        <w:jc w:val="both"/>
        <w:rPr>
          <w:rFonts w:eastAsia="Times New Roman"/>
        </w:rPr>
      </w:pPr>
      <w:r>
        <w:rPr>
          <w:rFonts w:eastAsia="Times New Roman"/>
        </w:rPr>
        <w:t>February 25</w:t>
      </w:r>
      <w:r w:rsidR="008C560E">
        <w:rPr>
          <w:rFonts w:eastAsia="Times New Roman"/>
        </w:rPr>
        <w:t>, 2015</w:t>
      </w:r>
    </w:p>
    <w:p w:rsidR="008C560E" w:rsidRDefault="008C560E"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A7317">
      <w:pPr>
        <w:tabs>
          <w:tab w:val="right" w:pos="5933"/>
        </w:tabs>
        <w:suppressAutoHyphens/>
        <w:jc w:val="both"/>
        <w:rPr>
          <w:rFonts w:eastAsia="Times New Roman"/>
        </w:rPr>
      </w:pPr>
      <w:r>
        <w:rPr>
          <w:rFonts w:eastAsia="Times New Roman"/>
        </w:rPr>
        <w:t>S.</w:t>
      </w:r>
      <w:r w:rsidR="005D32D1">
        <w:rPr>
          <w:rFonts w:eastAsia="Times New Roman"/>
        </w:rPr>
        <w:t xml:space="preserve"> Printed 2/25</w:t>
      </w:r>
      <w:r>
        <w:rPr>
          <w:rFonts w:eastAsia="Times New Roman"/>
        </w:rPr>
        <w:t>/15--S.</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w:t>
      </w:r>
      <w:r w:rsidR="009201C2">
        <w:rPr>
          <w:rFonts w:eastAsia="Times New Roman"/>
        </w:rPr>
        <w:t xml:space="preserve"> </w:t>
      </w:r>
      <w:r>
        <w:rPr>
          <w:rFonts w:eastAsia="Times New Roman"/>
        </w:rPr>
        <w:t>the first time January 13, 2015.</w:t>
      </w:r>
    </w:p>
    <w:p w:rsidR="005254EA" w:rsidRDefault="005254EA"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E236AB" w:rsidRDefault="00E236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lastRenderedPageBreak/>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 xml:space="preserve">for a third or subsequent offense, the person is guilty of a felony and must be imprisoned not less than a mandatory minimum </w:t>
      </w:r>
      <w:r w:rsidRPr="00D96590">
        <w:rPr>
          <w:rFonts w:eastAsia="Times New Roman"/>
          <w:strike/>
          <w:color w:val="000000" w:themeColor="text1"/>
        </w:rPr>
        <w:lastRenderedPageBreak/>
        <w:t>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sidR="00C7311D">
        <w:rPr>
          <w:rFonts w:eastAsia="Times New Roman"/>
          <w:szCs w:val="27"/>
          <w:u w:val="single" w:color="000000" w:themeColor="text1"/>
        </w:rPr>
        <w:tab/>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 xml:space="preserve">who violates the terms and conditions of an order of protection issued in this State under Chapter 4, Title 20, the ‘Protection from Domestic Abuse Act’, or a valid protection order </w:t>
      </w:r>
      <w:r w:rsidRPr="00D96590">
        <w:rPr>
          <w:rFonts w:eastAsia="Times New Roman"/>
          <w:strike/>
          <w:color w:val="000000" w:themeColor="text1"/>
        </w:rPr>
        <w:lastRenderedPageBreak/>
        <w:t>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xml:space="preserve">).  A </w:t>
      </w:r>
      <w:r w:rsidRPr="00B00E84">
        <w:rPr>
          <w:rFonts w:eastAsia="Times New Roman"/>
          <w:color w:val="000000" w:themeColor="text1"/>
          <w:u w:val="single"/>
        </w:rPr>
        <w:lastRenderedPageBreak/>
        <w:t>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C7311D">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 xml:space="preserve">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 xml:space="preserve">or if a person is convicted of a violation of </w:t>
      </w:r>
      <w:r w:rsidR="00C7311D">
        <w:rPr>
          <w:rFonts w:eastAsia="Times New Roman"/>
          <w:u w:val="single"/>
        </w:rPr>
        <w:t xml:space="preserve">Section </w:t>
      </w:r>
      <w:r>
        <w:rPr>
          <w:rFonts w:eastAsia="Times New Roman"/>
          <w:u w:val="single"/>
        </w:rPr>
        <w:t>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w:t>
      </w:r>
      <w:r w:rsidRPr="00D96590">
        <w:rPr>
          <w:rFonts w:eastAsia="Times New Roman"/>
          <w:color w:val="000000" w:themeColor="text1"/>
        </w:rPr>
        <w:lastRenderedPageBreak/>
        <w:t xml:space="preserve">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020FF">
        <w:rPr>
          <w:rFonts w:eastAsia="Times New Roman"/>
        </w:rPr>
        <w:t>SECTION</w:t>
      </w:r>
      <w:r w:rsidRPr="004020FF">
        <w:rPr>
          <w:rFonts w:eastAsia="Times New Roman"/>
        </w:rPr>
        <w:tab/>
        <w:t>3.</w:t>
      </w:r>
      <w:r w:rsidRPr="004020FF">
        <w:rPr>
          <w:rFonts w:eastAsia="Times New Roman"/>
        </w:rPr>
        <w:tab/>
        <w:t>Section 16</w:t>
      </w:r>
      <w:r w:rsidRPr="004020FF">
        <w:rPr>
          <w:rFonts w:eastAsia="Times New Roman"/>
        </w:rPr>
        <w:noBreakHyphen/>
        <w:t>25</w:t>
      </w:r>
      <w:r w:rsidRPr="004020FF">
        <w:rPr>
          <w:rFonts w:eastAsia="Times New Roman"/>
        </w:rPr>
        <w:noBreakHyphen/>
        <w:t>30 of the 1976 Code is amended to read:</w:t>
      </w:r>
    </w:p>
    <w:p w:rsidR="000A405E" w:rsidRDefault="000A405E"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t>“Section 16</w:t>
      </w:r>
      <w:r w:rsidRPr="004020FF">
        <w:rPr>
          <w:rFonts w:eastAsia="Times New Roman"/>
        </w:rPr>
        <w:noBreakHyphen/>
        <w:t>25</w:t>
      </w:r>
      <w:r w:rsidRPr="004020FF">
        <w:rPr>
          <w:rFonts w:eastAsia="Times New Roman"/>
        </w:rPr>
        <w:noBreakHyphen/>
        <w:t>30.</w:t>
      </w:r>
      <w:r w:rsidRPr="004020FF">
        <w:rPr>
          <w:rFonts w:eastAsia="Times New Roman"/>
        </w:rPr>
        <w:tab/>
      </w:r>
      <w:r w:rsidRPr="004020FF">
        <w:rPr>
          <w:rFonts w:eastAsia="Times New Roman"/>
          <w:u w:val="single" w:color="000000" w:themeColor="text1"/>
        </w:rPr>
        <w:t>(A)</w:t>
      </w:r>
      <w:r w:rsidRPr="004020FF">
        <w:rPr>
          <w:rFonts w:eastAsia="Times New Roman"/>
        </w:rPr>
        <w:tab/>
      </w:r>
      <w:r w:rsidRPr="004020FF">
        <w:rPr>
          <w:rFonts w:eastAsia="Times New Roman"/>
          <w:u w:val="single" w:color="000000" w:themeColor="text1"/>
        </w:rPr>
        <w:t>It is unlawful for a person to ship, transport, receive, or possess a firearm or ammunition, if the person:</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rPr>
        <w:tab/>
      </w:r>
      <w:r w:rsidRPr="004020FF">
        <w:rPr>
          <w:rFonts w:eastAsia="Times New Roman"/>
          <w:u w:val="single"/>
        </w:rPr>
        <w:t>(1)</w:t>
      </w:r>
      <w:r w:rsidRPr="004020FF">
        <w:rPr>
          <w:rFonts w:eastAsia="Times New Roman"/>
        </w:rPr>
        <w:tab/>
      </w:r>
      <w:r w:rsidRPr="004020FF">
        <w:rPr>
          <w:rFonts w:eastAsia="Times New Roman"/>
          <w:u w:val="single"/>
        </w:rPr>
        <w:t>has been convicted</w:t>
      </w:r>
      <w:r w:rsidRPr="004020FF">
        <w:rPr>
          <w:rFonts w:eastAsia="Times New Roman"/>
          <w:u w:val="single" w:color="000000" w:themeColor="text1"/>
        </w:rPr>
        <w:t xml:space="preserve"> of a violation of Section 16</w:t>
      </w:r>
      <w:r w:rsidRPr="004020FF">
        <w:rPr>
          <w:rFonts w:eastAsia="Times New Roman"/>
          <w:u w:val="single" w:color="000000" w:themeColor="text1"/>
        </w:rPr>
        <w:noBreakHyphen/>
        <w:t>25</w:t>
      </w:r>
      <w:r w:rsidRPr="004020FF">
        <w:rPr>
          <w:rFonts w:eastAsia="Times New Roman"/>
          <w:u w:val="single" w:color="000000" w:themeColor="text1"/>
        </w:rPr>
        <w:noBreakHyphen/>
        <w:t>20</w:t>
      </w:r>
      <w:r>
        <w:rPr>
          <w:rFonts w:eastAsia="Times New Roman"/>
          <w:u w:val="single" w:color="000000" w:themeColor="text1"/>
        </w:rPr>
        <w:t>(B), 16-25-20(C),</w:t>
      </w:r>
      <w:r w:rsidRPr="004020FF">
        <w:rPr>
          <w:rFonts w:eastAsia="Times New Roman"/>
          <w:u w:val="single" w:color="000000" w:themeColor="text1"/>
        </w:rPr>
        <w:t xml:space="preserve"> or 16</w:t>
      </w:r>
      <w:r w:rsidRPr="004020FF">
        <w:rPr>
          <w:rFonts w:eastAsia="Times New Roman"/>
          <w:u w:val="single" w:color="000000" w:themeColor="text1"/>
        </w:rPr>
        <w:noBreakHyphen/>
        <w:t>25</w:t>
      </w:r>
      <w:r w:rsidRPr="004020FF">
        <w:rPr>
          <w:rFonts w:eastAsia="Times New Roman"/>
          <w:u w:val="single" w:color="000000" w:themeColor="text1"/>
        </w:rPr>
        <w:noBreakHyphen/>
        <w:t>65;</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5B6392">
        <w:rPr>
          <w:rFonts w:eastAsia="Times New Roman"/>
          <w:u w:val="single"/>
        </w:rPr>
        <w:t>(2)</w:t>
      </w:r>
      <w:r>
        <w:rPr>
          <w:rFonts w:eastAsia="Times New Roman"/>
        </w:rPr>
        <w:tab/>
      </w:r>
      <w:r w:rsidRPr="005B6392">
        <w:rPr>
          <w:rFonts w:eastAsia="Times New Roman"/>
          <w:u w:val="single"/>
        </w:rPr>
        <w:t>has been convicted of a violation of Section 16-25-20(D)</w:t>
      </w:r>
      <w:r>
        <w:rPr>
          <w:rFonts w:eastAsia="Times New Roman"/>
          <w:u w:val="single"/>
        </w:rPr>
        <w:t xml:space="preserve"> and the judge at the time of sentencing orders that the person is prohibited from shipping, transporting, receiving, or possessing a firearm or ammunition;</w:t>
      </w:r>
    </w:p>
    <w:p w:rsidR="005D32D1" w:rsidRPr="003D4FFD"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3D4FFD">
        <w:rPr>
          <w:rFonts w:eastAsia="Times New Roman"/>
          <w:u w:val="single"/>
        </w:rPr>
        <w:t>(3)</w:t>
      </w:r>
      <w:r>
        <w:rPr>
          <w:rFonts w:eastAsia="Times New Roman"/>
        </w:rPr>
        <w:tab/>
      </w:r>
      <w:r w:rsidRPr="004020FF">
        <w:rPr>
          <w:rFonts w:eastAsia="Times New Roman"/>
          <w:u w:val="single"/>
        </w:rPr>
        <w:t>has been convicted of domestic violence in another state, tribe, or territory containing among its elements those elements enumerated in Section 16-25-20(</w:t>
      </w:r>
      <w:r>
        <w:rPr>
          <w:rFonts w:eastAsia="Times New Roman"/>
          <w:u w:val="single"/>
        </w:rPr>
        <w:t>A</w:t>
      </w:r>
      <w:r w:rsidRPr="004020FF">
        <w:rPr>
          <w:rFonts w:eastAsia="Times New Roman"/>
          <w:u w:val="single"/>
        </w:rPr>
        <w:t>) or 16-25-65</w:t>
      </w:r>
      <w:r>
        <w:rPr>
          <w:rFonts w:eastAsia="Times New Roman"/>
          <w:u w:val="single"/>
        </w:rPr>
        <w:t>;</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020FF">
        <w:rPr>
          <w:rFonts w:eastAsia="Times New Roman"/>
        </w:rPr>
        <w:tab/>
      </w:r>
      <w:r w:rsidRPr="004020FF">
        <w:rPr>
          <w:rFonts w:eastAsia="Times New Roman"/>
        </w:rPr>
        <w:tab/>
      </w:r>
      <w:r w:rsidRPr="00CF572E">
        <w:rPr>
          <w:rFonts w:eastAsia="Times New Roman"/>
          <w:u w:val="single"/>
        </w:rPr>
        <w:t>(</w:t>
      </w:r>
      <w:r>
        <w:rPr>
          <w:rFonts w:eastAsia="Times New Roman"/>
          <w:u w:val="single"/>
        </w:rPr>
        <w:t>4</w:t>
      </w:r>
      <w:r w:rsidRPr="00CF572E">
        <w:rPr>
          <w:rFonts w:eastAsia="Times New Roman"/>
          <w:u w:val="single"/>
        </w:rPr>
        <w:t>)</w:t>
      </w:r>
      <w:r>
        <w:rPr>
          <w:rFonts w:eastAsia="Times New Roman"/>
        </w:rPr>
        <w:tab/>
      </w:r>
      <w:r w:rsidRPr="004020FF">
        <w:rPr>
          <w:rFonts w:eastAsia="Times New Roman"/>
          <w:u w:val="single" w:color="000000" w:themeColor="text1"/>
        </w:rPr>
        <w:t>is subject to a valid order of protection pursuant to Chapter 4, Title 20</w:t>
      </w:r>
      <w:r>
        <w:rPr>
          <w:rFonts w:eastAsia="Times New Roman"/>
          <w:u w:val="single" w:color="000000" w:themeColor="text1"/>
        </w:rPr>
        <w:t xml:space="preserve">, </w:t>
      </w:r>
      <w:r>
        <w:rPr>
          <w:rFonts w:eastAsia="Times New Roman"/>
          <w:u w:val="single"/>
        </w:rPr>
        <w:t>and the judge orders that the person is prohibited from shipping, transporting, receiving, or possessing a firearm or ammunition; or</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3D4FFD">
        <w:rPr>
          <w:rFonts w:eastAsia="Times New Roman"/>
        </w:rPr>
        <w:lastRenderedPageBreak/>
        <w:tab/>
      </w:r>
      <w:r w:rsidRPr="003D4FFD">
        <w:rPr>
          <w:rFonts w:eastAsia="Times New Roman"/>
        </w:rPr>
        <w:tab/>
      </w:r>
      <w:r>
        <w:rPr>
          <w:rFonts w:eastAsia="Times New Roman"/>
          <w:u w:val="single"/>
        </w:rPr>
        <w:t>(5)</w:t>
      </w:r>
      <w:r>
        <w:rPr>
          <w:rFonts w:eastAsia="Times New Roman"/>
        </w:rPr>
        <w:tab/>
      </w:r>
      <w:r w:rsidRPr="004020FF">
        <w:rPr>
          <w:rFonts w:eastAsia="Times New Roman"/>
          <w:u w:val="single"/>
        </w:rPr>
        <w:t>is subject to</w:t>
      </w:r>
      <w:r w:rsidRPr="004020FF">
        <w:rPr>
          <w:rFonts w:eastAsia="Times New Roman"/>
          <w:u w:val="single" w:color="000000" w:themeColor="text1"/>
        </w:rPr>
        <w:t xml:space="preserve"> a valid order of protection related to domestic or family violence issued by a court of another state, tribe, or territory in compliance with the Uniform Interstate Enforcement of Domestic Violence Protection Orders Act.</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(B)</w:t>
      </w:r>
      <w:r w:rsidRPr="004020FF">
        <w:rPr>
          <w:rFonts w:eastAsia="Times New Roman"/>
        </w:rPr>
        <w:tab/>
      </w:r>
      <w:r w:rsidRPr="004020FF">
        <w:rPr>
          <w:rFonts w:eastAsia="Times New Roman"/>
          <w:u w:val="single"/>
        </w:rPr>
        <w:t>A person who violates this section is guilty</w:t>
      </w:r>
      <w:r w:rsidRPr="004020FF">
        <w:rPr>
          <w:rFonts w:eastAsia="Times New Roman"/>
          <w:u w:val="single" w:color="000000" w:themeColor="text1"/>
        </w:rPr>
        <w:t xml:space="preserve"> of a felony, and, upon conviction, must be fined not less than five hundred dollars nor more than one thousand dollars and imprisoned for not more than five years.</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(C)</w:t>
      </w:r>
      <w:r w:rsidRPr="004020FF">
        <w:rPr>
          <w:rFonts w:eastAsia="Times New Roman"/>
        </w:rPr>
        <w:tab/>
      </w:r>
      <w:r w:rsidRPr="004020FF">
        <w:rPr>
          <w:rFonts w:eastAsia="Times New Roman"/>
          <w:u w:val="single" w:color="000000" w:themeColor="text1"/>
        </w:rPr>
        <w:t xml:space="preserve">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w:t>
      </w:r>
      <w:r>
        <w:rPr>
          <w:rFonts w:eastAsia="Times New Roman"/>
          <w:u w:val="single" w:color="000000" w:themeColor="text1"/>
        </w:rPr>
        <w:t>domestic violence</w:t>
      </w:r>
      <w:r w:rsidRPr="004020FF">
        <w:rPr>
          <w:rFonts w:eastAsia="Times New Roman"/>
          <w:u w:val="single" w:color="000000" w:themeColor="text1"/>
        </w:rPr>
        <w:t xml:space="preserve"> for purposes of this section if the conviction has been expunged, set aside, or is an offense for which the person has been pardoned.</w:t>
      </w:r>
    </w:p>
    <w:p w:rsidR="005D32D1" w:rsidRPr="004020F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020FF">
        <w:rPr>
          <w:rFonts w:eastAsia="Times New Roman"/>
        </w:rPr>
        <w:tab/>
      </w:r>
      <w:r w:rsidRPr="004020FF">
        <w:rPr>
          <w:rFonts w:eastAsia="Times New Roman"/>
          <w:u w:val="single" w:color="000000" w:themeColor="text1"/>
        </w:rPr>
        <w:t>(D)</w:t>
      </w:r>
      <w:r w:rsidRPr="004020FF">
        <w:rPr>
          <w:rFonts w:eastAsia="Times New Roman"/>
        </w:rPr>
        <w:tab/>
        <w:t>At the time a person is convicted of violating the provisions of Section 16</w:t>
      </w:r>
      <w:r w:rsidRPr="004020FF">
        <w:rPr>
          <w:rFonts w:eastAsia="Times New Roman"/>
        </w:rPr>
        <w:noBreakHyphen/>
        <w:t>25</w:t>
      </w:r>
      <w:r w:rsidRPr="004020FF">
        <w:rPr>
          <w:rFonts w:eastAsia="Times New Roman"/>
        </w:rPr>
        <w:noBreakHyphen/>
        <w:t>20 or 16</w:t>
      </w:r>
      <w:r w:rsidRPr="004020FF">
        <w:rPr>
          <w:rFonts w:eastAsia="Times New Roman"/>
        </w:rPr>
        <w:noBreakHyphen/>
        <w:t>25</w:t>
      </w:r>
      <w:r w:rsidRPr="004020FF">
        <w:rPr>
          <w:rFonts w:eastAsia="Times New Roman"/>
        </w:rPr>
        <w:noBreakHyphen/>
        <w:t>65</w:t>
      </w:r>
      <w:r w:rsidRPr="004020FF">
        <w:rPr>
          <w:rFonts w:eastAsia="Times New Roman"/>
          <w:u w:val="single" w:color="000000" w:themeColor="text1"/>
        </w:rPr>
        <w:t>, or upon the issuance of an order of protection pursuant to Chapter 4, Title 20</w:t>
      </w:r>
      <w:r w:rsidRPr="004020FF">
        <w:rPr>
          <w:rFonts w:eastAsia="Times New Roman"/>
        </w:rPr>
        <w:t>, the court must deliver to the person a written form that conspicuously bears the following language: ‘Pursuant to 18 U.S.C. Section 922, it is unlawful for a person convicted of a violation of Section 16</w:t>
      </w:r>
      <w:r w:rsidRPr="004020FF">
        <w:rPr>
          <w:rFonts w:eastAsia="Times New Roman"/>
        </w:rPr>
        <w:noBreakHyphen/>
        <w:t>25</w:t>
      </w:r>
      <w:r w:rsidRPr="004020FF">
        <w:rPr>
          <w:rFonts w:eastAsia="Times New Roman"/>
        </w:rPr>
        <w:noBreakHyphen/>
        <w:t>20 or 16</w:t>
      </w:r>
      <w:r w:rsidRPr="004020FF">
        <w:rPr>
          <w:rFonts w:eastAsia="Times New Roman"/>
        </w:rPr>
        <w:noBreakHyphen/>
        <w:t>25</w:t>
      </w:r>
      <w:r w:rsidRPr="004020FF">
        <w:rPr>
          <w:rFonts w:eastAsia="Times New Roman"/>
        </w:rPr>
        <w:noBreakHyphen/>
        <w:t>65</w:t>
      </w:r>
      <w:r w:rsidRPr="004020FF">
        <w:rPr>
          <w:rFonts w:eastAsia="Times New Roman"/>
          <w:u w:val="single" w:color="000000" w:themeColor="text1"/>
        </w:rPr>
        <w:t>, or a person who is subject to a valid order of protection pursuant to Chapter 4, Title 20,</w:t>
      </w:r>
      <w:r w:rsidRPr="004020FF">
        <w:rPr>
          <w:rFonts w:eastAsia="Times New Roman"/>
        </w:rPr>
        <w:t xml:space="preserve"> to ship, transport, possess, or receive a firearm or ammunition</w:t>
      </w:r>
      <w:r w:rsidRPr="00CD1E98">
        <w:rPr>
          <w:rFonts w:eastAsia="Times New Roman"/>
        </w:rPr>
        <w:t>.</w:t>
      </w:r>
      <w:r w:rsidRPr="004020FF">
        <w:rPr>
          <w:rFonts w:eastAsia="Times New Roman"/>
        </w:rPr>
        <w:t>’</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4020FF">
        <w:rPr>
          <w:rFonts w:eastAsia="Times New Roman"/>
        </w:rPr>
        <w:tab/>
      </w:r>
      <w:r w:rsidRPr="004020FF">
        <w:rPr>
          <w:rFonts w:eastAsia="Times New Roman"/>
          <w:u w:val="single" w:color="000000" w:themeColor="text1"/>
        </w:rPr>
        <w:t>(E)</w:t>
      </w:r>
      <w:r w:rsidRPr="004020FF">
        <w:rPr>
          <w:rFonts w:eastAsia="Times New Roman"/>
        </w:rPr>
        <w:tab/>
      </w:r>
      <w:r w:rsidRPr="004020FF">
        <w:rPr>
          <w:rFonts w:eastAsia="Times New Roman"/>
          <w:u w:val="single" w:color="000000" w:themeColor="text1"/>
        </w:rPr>
        <w:t>The provisions of this section prohibiting the possession of firearms and ammunition by persons who have been convicted of domestic violence shall apply to a person who has been convicted of domestic violence</w:t>
      </w:r>
      <w:r>
        <w:rPr>
          <w:rFonts w:eastAsia="Times New Roman"/>
          <w:u w:val="single" w:color="000000" w:themeColor="text1"/>
        </w:rPr>
        <w:t xml:space="preserve"> for a period of:</w:t>
      </w:r>
    </w:p>
    <w:p w:rsidR="005D32D1"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E97C4F">
        <w:rPr>
          <w:rFonts w:eastAsia="Times New Roman"/>
          <w:u w:val="single"/>
        </w:rPr>
        <w:t>(1)</w:t>
      </w:r>
      <w:r>
        <w:rPr>
          <w:rFonts w:eastAsia="Times New Roman"/>
        </w:rPr>
        <w:tab/>
      </w:r>
      <w:r w:rsidRPr="004020FF">
        <w:rPr>
          <w:rFonts w:eastAsia="Times New Roman"/>
          <w:u w:val="single" w:color="000000" w:themeColor="text1"/>
        </w:rPr>
        <w:t>ten years from the date of completion of sentence, probation, parole, or suspension of sentence</w:t>
      </w:r>
      <w:r>
        <w:rPr>
          <w:rFonts w:eastAsia="Times New Roman"/>
          <w:u w:val="single" w:color="000000" w:themeColor="text1"/>
        </w:rPr>
        <w:t>, if the person has been convicted of a violation of Section 16-25-20(B), Section 16-25-20(C), or Section 16-25-65; or</w:t>
      </w:r>
    </w:p>
    <w:p w:rsidR="005D32D1" w:rsidRPr="00E97C4F"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Pr="00E97C4F">
        <w:rPr>
          <w:rFonts w:eastAsia="Times New Roman"/>
          <w:u w:val="single"/>
        </w:rPr>
        <w:t>(2)</w:t>
      </w:r>
      <w:r w:rsidRPr="00E97C4F">
        <w:rPr>
          <w:rFonts w:eastAsia="Times New Roman"/>
        </w:rPr>
        <w:tab/>
      </w:r>
      <w:r w:rsidRPr="00E97C4F">
        <w:rPr>
          <w:rFonts w:eastAsia="Times New Roman"/>
          <w:u w:val="single"/>
        </w:rPr>
        <w:t>five years</w:t>
      </w:r>
      <w:r w:rsidRPr="004020FF">
        <w:rPr>
          <w:rFonts w:eastAsia="Times New Roman"/>
          <w:u w:val="single" w:color="000000" w:themeColor="text1"/>
        </w:rPr>
        <w:t xml:space="preserve"> from the date of completion of sentence, probation, parole, or suspension of sentence</w:t>
      </w:r>
      <w:r>
        <w:rPr>
          <w:rFonts w:eastAsia="Times New Roman"/>
          <w:u w:val="single" w:color="000000" w:themeColor="text1"/>
        </w:rPr>
        <w:t xml:space="preserve">, if the person has been convicted of a violation of Section 16-25-20(D) </w:t>
      </w:r>
      <w:r>
        <w:rPr>
          <w:rFonts w:eastAsia="Times New Roman"/>
          <w:u w:val="single"/>
        </w:rPr>
        <w:t>and the judge at the time of sentencing orders that the person is prohibited from shipping, transporting, receiving, or possessing a firearm or ammunition.</w:t>
      </w:r>
    </w:p>
    <w:p w:rsidR="00E236AB" w:rsidRDefault="005D32D1" w:rsidP="005D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4020FF">
        <w:rPr>
          <w:rFonts w:eastAsia="Times New Roman"/>
        </w:rPr>
        <w:lastRenderedPageBreak/>
        <w:tab/>
      </w:r>
      <w:r w:rsidRPr="004020FF">
        <w:rPr>
          <w:rFonts w:eastAsia="Times New Roman"/>
          <w:u w:val="single" w:color="000000" w:themeColor="text1"/>
        </w:rPr>
        <w:t>(F)</w:t>
      </w:r>
      <w:r w:rsidRPr="004020FF">
        <w:rPr>
          <w:rFonts w:eastAsia="Times New Roman"/>
        </w:rPr>
        <w:tab/>
      </w:r>
      <w:r w:rsidRPr="004020FF">
        <w:rPr>
          <w:rFonts w:eastAsia="Times New Roman"/>
          <w:u w:val="single" w:color="000000" w:themeColor="text1"/>
        </w:rPr>
        <w:t>For purposes of this section, ‘firearm’ means a pistol, revolver, rifle, shotgun, machine gun, submachine gun, black powder weapon, or assault rifle which is designed to fire or is capable of firing fixed cartridge ammunition or from which a shot or projectile is discharged by an explosive.</w:t>
      </w:r>
      <w:r w:rsidRPr="004020FF">
        <w:rPr>
          <w:rFonts w:eastAsia="Times New Roman"/>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 xml:space="preserve">20.  The offender must pay a reasonable fee for </w:t>
      </w:r>
      <w:r w:rsidRPr="00D96590">
        <w:rPr>
          <w:strike/>
          <w:color w:val="000000" w:themeColor="text1"/>
        </w:rPr>
        <w:lastRenderedPageBreak/>
        <w:t>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knowingly impeding the normal breathing or circulation of the blood of a household member by applying pressure to the 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C7311D">
        <w:rPr>
          <w:color w:val="000000" w:themeColor="text1"/>
          <w:u w:val="single"/>
        </w:rPr>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r>
      <w:r w:rsidRPr="00C7311D">
        <w:rPr>
          <w:rFonts w:eastAsia="Times New Roman"/>
          <w:u w:val="single"/>
        </w:rPr>
        <w:t>(b)</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16</w:t>
      </w:r>
      <w:r>
        <w:rPr>
          <w:rFonts w:eastAsia="Times New Roman"/>
        </w:rPr>
        <w:noBreakHyphen/>
        <w:t>25</w:t>
      </w:r>
      <w:r>
        <w:rPr>
          <w:rFonts w:eastAsia="Times New Roman"/>
        </w:rPr>
        <w:noBreakHyphen/>
        <w:t>70(B) of the 1976 Code is amended to read:</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(B)</w:t>
      </w:r>
      <w:r>
        <w:tab/>
      </w:r>
      <w:r w:rsidRPr="00F06D60">
        <w:t xml:space="preserve">A law enforcement officer </w:t>
      </w:r>
      <w:r w:rsidRPr="00B9415D">
        <w:rPr>
          <w:strike/>
        </w:rPr>
        <w:t>must</w:t>
      </w:r>
      <w:r w:rsidRPr="00F06D60">
        <w:t xml:space="preserve"> </w:t>
      </w:r>
      <w:r>
        <w:rPr>
          <w:u w:val="single"/>
        </w:rPr>
        <w:t>may</w:t>
      </w:r>
      <w:r>
        <w:t xml:space="preserve"> </w:t>
      </w:r>
      <w:r w:rsidRPr="00F06D60">
        <w:t>arrest, with or without a warrant, a person at the person</w:t>
      </w:r>
      <w:r w:rsidRPr="00B126D6">
        <w:t>’</w:t>
      </w:r>
      <w:r w:rsidRPr="00F06D60">
        <w:t>s place of residence or elsewhere if physical manifestations of injury to the alleged victim are present and the officer has probable cause to believe that the person is committing or has freshly committed a misdemeanor or felony under the provisions of Section 16</w:t>
      </w:r>
      <w:r>
        <w:noBreakHyphen/>
      </w:r>
      <w:r w:rsidRPr="00F06D60">
        <w:t>25</w:t>
      </w:r>
      <w:r>
        <w:noBreakHyphen/>
      </w:r>
      <w:r w:rsidRPr="00F06D60">
        <w:t>20(A) or (D), or 16</w:t>
      </w:r>
      <w:r>
        <w:noBreakHyphen/>
      </w:r>
      <w:r w:rsidRPr="00F06D60">
        <w:t>25</w:t>
      </w:r>
      <w:r>
        <w:noBreakHyphen/>
      </w:r>
      <w:r w:rsidRPr="00F06D60">
        <w:t xml:space="preserve">65 even if the act did not take place in the presence of the officer. A law enforcement officer </w:t>
      </w:r>
      <w:r w:rsidRPr="00CE1987">
        <w:rPr>
          <w:strike/>
        </w:rPr>
        <w:t>is</w:t>
      </w:r>
      <w:r w:rsidRPr="00F06D60">
        <w:t xml:space="preserve"> </w:t>
      </w:r>
      <w:r>
        <w:rPr>
          <w:u w:val="single"/>
        </w:rPr>
        <w:t>may</w:t>
      </w:r>
      <w:r>
        <w:t xml:space="preserve"> </w:t>
      </w:r>
      <w:r w:rsidRPr="00F06D60">
        <w:t xml:space="preserve">not </w:t>
      </w:r>
      <w:r w:rsidRPr="00CE1987">
        <w:rPr>
          <w:strike/>
        </w:rPr>
        <w:t>required to</w:t>
      </w:r>
      <w:r w:rsidRPr="00F06D60">
        <w:t xml:space="preserve"> make an arrest if he determines probable cause does not exist after consideration of the factors set forth in subsection (D) and observance that no physical manifestation of injury is present. The officer may, if necessary, </w:t>
      </w:r>
      <w:r w:rsidRPr="00F06D60">
        <w:lastRenderedPageBreak/>
        <w:t>verify the existence of an order of protection by telephone or radio communication with the appropriate law enforcement agency.</w:t>
      </w:r>
      <w:r>
        <w:rPr>
          <w:rFonts w:eastAsia="Times New Roman"/>
        </w:rPr>
        <w:t>”</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DB5093"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Pr>
          <w:rFonts w:eastAsia="Times New Roman"/>
          <w:color w:val="000000" w:themeColor="text1"/>
        </w:rPr>
        <w:t>SECTION</w:t>
      </w:r>
      <w:r>
        <w:rPr>
          <w:rFonts w:eastAsia="Times New Roman"/>
          <w:color w:val="000000" w:themeColor="text1"/>
        </w:rPr>
        <w:tab/>
        <w:t>6</w:t>
      </w:r>
      <w:r w:rsidR="00E236AB" w:rsidRPr="00D96590">
        <w:rPr>
          <w:rFonts w:eastAsia="Times New Roman"/>
          <w:color w:val="000000" w:themeColor="text1"/>
        </w:rPr>
        <w:t>.</w:t>
      </w:r>
      <w:r w:rsidR="00E236AB" w:rsidRPr="00D96590">
        <w:rPr>
          <w:rFonts w:eastAsia="Times New Roman"/>
          <w:color w:val="000000" w:themeColor="text1"/>
        </w:rPr>
        <w:tab/>
      </w:r>
      <w:r w:rsidR="00E236AB" w:rsidRPr="00D96590">
        <w:rPr>
          <w:rFonts w:eastAsia="Times New Roman"/>
          <w:bCs/>
          <w:color w:val="000000" w:themeColor="text1"/>
        </w:rPr>
        <w:t xml:space="preserve">Chapter 3, Title 16 of the </w:t>
      </w:r>
      <w:r w:rsidR="00E236AB">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(1)</w:t>
      </w:r>
      <w:r w:rsidRPr="00D96590">
        <w:rPr>
          <w:color w:val="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 xml:space="preserve">‘Victim’ does not include a person who is the subject of an investigation for, charged with, or has been convicted of the offense in question; a person, including a spouse, parent, child, or lawful </w:t>
      </w:r>
      <w:r w:rsidRPr="00D96590">
        <w:rPr>
          <w:color w:val="000000" w:themeColor="text1"/>
        </w:rPr>
        <w:lastRenderedPageBreak/>
        <w:t>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F90763" w:rsidRDefault="00F90763"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 xml:space="preserve">A complainant shall provide his address to the court and to any appropriate law enforcement agencies.  The complainant’s address must be kept under seal, omitted from all documents filed </w:t>
      </w:r>
      <w:r w:rsidRPr="00D96590">
        <w:rPr>
          <w:color w:val="000000" w:themeColor="text1"/>
        </w:rPr>
        <w:lastRenderedPageBreak/>
        <w:t>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contact order, the court may hold an emergency hearing and issue an emergency civil 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C7311D"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r>
      <w:r w:rsidR="00E236AB" w:rsidRPr="00D96590">
        <w:rPr>
          <w:color w:val="000000" w:themeColor="text1"/>
        </w:rPr>
        <w:t xml:space="preserve">efforts have </w:t>
      </w:r>
      <w:r w:rsidR="00E236AB">
        <w:rPr>
          <w:color w:val="000000" w:themeColor="text1"/>
        </w:rPr>
        <w:t xml:space="preserve">been made to serve the notice; </w:t>
      </w:r>
      <w:r w:rsidR="00E236AB"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there is good cause to grant the remedy because the harm that the remedy is intended to prevent would likely occur if 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w:t>
      </w:r>
      <w:r w:rsidR="00C7311D">
        <w:rPr>
          <w:color w:val="000000" w:themeColor="text1"/>
        </w:rPr>
        <w:t>’s</w:t>
      </w:r>
      <w:r w:rsidRPr="00D96590">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contact order and provide a copy to the complainant and to the local law enforcement agencies having 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contact order after service and notice of the order is provided.  An arrest warrant is not required.  A respondent who is in violation of an emergency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lastRenderedPageBreak/>
        <w:t>SECTION</w:t>
      </w:r>
      <w:r>
        <w:rPr>
          <w:color w:val="000000" w:themeColor="text1"/>
        </w:rPr>
        <w:tab/>
        <w:t>7</w:t>
      </w:r>
      <w:r w:rsidR="00E236AB" w:rsidRPr="00D96590">
        <w:rPr>
          <w:color w:val="000000" w:themeColor="text1"/>
        </w:rPr>
        <w:t>.</w:t>
      </w:r>
      <w:r w:rsidR="00E236AB" w:rsidRPr="00D96590">
        <w:rPr>
          <w:color w:val="000000" w:themeColor="text1"/>
        </w:rPr>
        <w:tab/>
      </w:r>
      <w:r w:rsidR="00E236AB">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656); assault and battery with intent to kill (Section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95(A)); allowing great bodily injury to be inflicted 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 xml:space="preserve">720(A)(1)); </w:t>
      </w:r>
      <w:r>
        <w:lastRenderedPageBreak/>
        <w:t>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1210(A)(3)); felony driving under the influence or felony driving with an unlawful alcohol concentration resulting in 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00E236AB" w:rsidRPr="00D96590">
        <w:rPr>
          <w:rFonts w:eastAsia="Times New Roman"/>
        </w:rPr>
        <w:t>.</w:t>
      </w:r>
      <w:r w:rsidR="00E236AB" w:rsidRPr="00D96590">
        <w:rPr>
          <w:rFonts w:eastAsia="Times New Roman"/>
        </w:rPr>
        <w:tab/>
      </w:r>
      <w:r w:rsidR="00E236AB">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u w:val="single"/>
        </w:rPr>
        <w:t>16-25-20</w:t>
      </w:r>
      <w:r w:rsidR="00043294">
        <w:rPr>
          <w:u w:val="single"/>
        </w:rPr>
        <w:tab/>
      </w:r>
      <w:r w:rsidR="00043294">
        <w:rPr>
          <w:u w:val="single"/>
        </w:rPr>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Pr>
          <w:u w:val="single"/>
        </w:rPr>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 xml:space="preserve">50, a prior or previous conviction shall mean the defendant has been convicted of a most serious or serious offense, as may be applicable, on a separate </w:t>
      </w:r>
      <w:r>
        <w:lastRenderedPageBreak/>
        <w:t>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9</w:t>
      </w:r>
      <w:r w:rsidR="00E236AB">
        <w:rPr>
          <w:rFonts w:eastAsia="Times New Roman"/>
        </w:rPr>
        <w:t>.</w:t>
      </w:r>
      <w:r w:rsidR="00E236AB">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rsidR="00C7311D">
        <w:tab/>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00C7311D">
        <w:tab/>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10</w:t>
      </w:r>
      <w:r w:rsidR="00E236AB">
        <w:rPr>
          <w:rFonts w:eastAsia="Times New Roman"/>
        </w:rPr>
        <w:t>.</w:t>
      </w:r>
      <w:r w:rsidR="00E236AB">
        <w:rPr>
          <w:rFonts w:eastAsia="Times New Roman"/>
        </w:rPr>
        <w:tab/>
      </w:r>
      <w:r w:rsidR="00E236AB"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E236AB">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00E236AB">
        <w:rPr>
          <w:rFonts w:eastAsia="Times New Roman"/>
        </w:rPr>
        <w:t>.</w:t>
      </w:r>
      <w:r w:rsidR="00E236AB">
        <w:rPr>
          <w:rFonts w:eastAsia="Times New Roman"/>
        </w:rPr>
        <w:tab/>
      </w:r>
      <w:r w:rsidR="00E236AB" w:rsidRPr="00D96590">
        <w:rPr>
          <w:rFonts w:eastAsia="Times New Roman"/>
        </w:rPr>
        <w:t>This act takes effect upon approval by the Governor.</w:t>
      </w:r>
    </w:p>
    <w:p w:rsidR="00A913E1" w:rsidRDefault="00522CE0" w:rsidP="00A9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A913E1"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60E" w:rsidRDefault="008C560E" w:rsidP="00522CE0">
      <w:r>
        <w:separator/>
      </w:r>
    </w:p>
  </w:endnote>
  <w:endnote w:type="continuationSeparator" w:id="0">
    <w:p w:rsidR="008C560E" w:rsidRDefault="008C56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9AAF70-FC51-479E-8754-BE2860E2BE58}"/>
    <w:embedBold r:id="rId2" w:fontKey="{60068582-07BA-43BF-8FC0-A89EB905A3DF}"/>
  </w:font>
  <w:font w:name="Calibri">
    <w:panose1 w:val="020F0502020204030204"/>
    <w:charset w:val="00"/>
    <w:family w:val="swiss"/>
    <w:pitch w:val="variable"/>
    <w:sig w:usb0="E10002FF" w:usb1="4000ACFF" w:usb2="00000009" w:usb3="00000000" w:csb0="0000019F" w:csb1="00000000"/>
    <w:embedRegular r:id="rId3" w:fontKey="{90E249EF-C936-4B6E-82A5-77CF8440FD64}"/>
    <w:embedBold r:id="rId4" w:fontKey="{E3703DDE-3F46-4B31-A268-3A81B248B102}"/>
  </w:font>
  <w:font w:name="Segoe UI">
    <w:panose1 w:val="020B0502040204020203"/>
    <w:charset w:val="00"/>
    <w:family w:val="swiss"/>
    <w:pitch w:val="variable"/>
    <w:sig w:usb0="E10022FF" w:usb1="C000E47F" w:usb2="00000029" w:usb3="00000000" w:csb0="000001DF" w:csb1="00000000"/>
    <w:embedRegular r:id="rId5" w:fontKey="{CCAFC4F1-F42F-470A-BCF9-3BA78BDCDC2D}"/>
  </w:font>
  <w:font w:name="Cambria">
    <w:panose1 w:val="02040503050406030204"/>
    <w:charset w:val="00"/>
    <w:family w:val="roman"/>
    <w:pitch w:val="variable"/>
    <w:sig w:usb0="E00002FF" w:usb1="400004FF" w:usb2="00000000" w:usb3="00000000" w:csb0="0000019F" w:csb1="00000000"/>
    <w:embedRegular r:id="rId6" w:fontKey="{C3D8A35C-A44F-4BCA-8A7A-7B275FD6A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A913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A913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60E" w:rsidRDefault="008C560E" w:rsidP="00522CE0">
      <w:r>
        <w:separator/>
      </w:r>
    </w:p>
  </w:footnote>
  <w:footnote w:type="continuationSeparator" w:id="0">
    <w:p w:rsidR="008C560E" w:rsidRDefault="008C56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05E"/>
    <w:rsid w:val="000A4D08"/>
    <w:rsid w:val="000A6988"/>
    <w:rsid w:val="000B0720"/>
    <w:rsid w:val="000B5EAF"/>
    <w:rsid w:val="000E473B"/>
    <w:rsid w:val="000F002B"/>
    <w:rsid w:val="00107C3D"/>
    <w:rsid w:val="00126995"/>
    <w:rsid w:val="0016543B"/>
    <w:rsid w:val="00170561"/>
    <w:rsid w:val="00174B3B"/>
    <w:rsid w:val="0017753E"/>
    <w:rsid w:val="00186AC9"/>
    <w:rsid w:val="00190F47"/>
    <w:rsid w:val="00197DF1"/>
    <w:rsid w:val="001B3DD9"/>
    <w:rsid w:val="001C23C9"/>
    <w:rsid w:val="001D3BAC"/>
    <w:rsid w:val="00206D3D"/>
    <w:rsid w:val="00221A5C"/>
    <w:rsid w:val="0022620F"/>
    <w:rsid w:val="0024519E"/>
    <w:rsid w:val="00245C4E"/>
    <w:rsid w:val="002978F7"/>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A7317"/>
    <w:rsid w:val="005D32D1"/>
    <w:rsid w:val="005E080F"/>
    <w:rsid w:val="005F15E4"/>
    <w:rsid w:val="00600221"/>
    <w:rsid w:val="00606D23"/>
    <w:rsid w:val="00641A16"/>
    <w:rsid w:val="006431BA"/>
    <w:rsid w:val="00651686"/>
    <w:rsid w:val="0067780B"/>
    <w:rsid w:val="006913BE"/>
    <w:rsid w:val="006B4B3C"/>
    <w:rsid w:val="006C74EA"/>
    <w:rsid w:val="00720D40"/>
    <w:rsid w:val="0073026D"/>
    <w:rsid w:val="007311B4"/>
    <w:rsid w:val="007318D4"/>
    <w:rsid w:val="00744913"/>
    <w:rsid w:val="00746551"/>
    <w:rsid w:val="00765784"/>
    <w:rsid w:val="007A4390"/>
    <w:rsid w:val="007C65B0"/>
    <w:rsid w:val="007E3B8F"/>
    <w:rsid w:val="007E5CB7"/>
    <w:rsid w:val="00814EED"/>
    <w:rsid w:val="008314D2"/>
    <w:rsid w:val="008804AE"/>
    <w:rsid w:val="00894939"/>
    <w:rsid w:val="008B2F42"/>
    <w:rsid w:val="008C560E"/>
    <w:rsid w:val="008E185F"/>
    <w:rsid w:val="008E5870"/>
    <w:rsid w:val="008F023B"/>
    <w:rsid w:val="008F7524"/>
    <w:rsid w:val="00904E16"/>
    <w:rsid w:val="009201C2"/>
    <w:rsid w:val="00927C62"/>
    <w:rsid w:val="00931A96"/>
    <w:rsid w:val="00944610"/>
    <w:rsid w:val="00983951"/>
    <w:rsid w:val="00984124"/>
    <w:rsid w:val="00984640"/>
    <w:rsid w:val="00995C37"/>
    <w:rsid w:val="009A7B72"/>
    <w:rsid w:val="009C118A"/>
    <w:rsid w:val="00A02011"/>
    <w:rsid w:val="00A35165"/>
    <w:rsid w:val="00A4011E"/>
    <w:rsid w:val="00A41565"/>
    <w:rsid w:val="00A86015"/>
    <w:rsid w:val="00A913E1"/>
    <w:rsid w:val="00AE59C8"/>
    <w:rsid w:val="00AF4077"/>
    <w:rsid w:val="00B030B6"/>
    <w:rsid w:val="00B07182"/>
    <w:rsid w:val="00B10098"/>
    <w:rsid w:val="00B10E10"/>
    <w:rsid w:val="00B237B1"/>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65D1F"/>
    <w:rsid w:val="00D77EC0"/>
    <w:rsid w:val="00D86943"/>
    <w:rsid w:val="00DA47B9"/>
    <w:rsid w:val="00DE6823"/>
    <w:rsid w:val="00E236AB"/>
    <w:rsid w:val="00E45A67"/>
    <w:rsid w:val="00E677A1"/>
    <w:rsid w:val="00E73CA2"/>
    <w:rsid w:val="00E91E2F"/>
    <w:rsid w:val="00EA3546"/>
    <w:rsid w:val="00EB1AAC"/>
    <w:rsid w:val="00EB47AE"/>
    <w:rsid w:val="00EC34E1"/>
    <w:rsid w:val="00ED0AE1"/>
    <w:rsid w:val="00F0234A"/>
    <w:rsid w:val="00F11D51"/>
    <w:rsid w:val="00F52959"/>
    <w:rsid w:val="00F532D4"/>
    <w:rsid w:val="00F55884"/>
    <w:rsid w:val="00F624B4"/>
    <w:rsid w:val="00F90763"/>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D540C-3EFB-4E22-BE80-4D7FC48F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B63B57EF.dotm</Template>
  <TotalTime>0</TotalTime>
  <Pages>26</Pages>
  <Words>9108</Words>
  <Characters>47449</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56940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(Feb. 25, 2015) - South Carolina Legislature Online</dc:title>
  <dc:subject/>
  <dc:creator>LindseyKnipp</dc:creator>
  <cp:keywords/>
  <dc:description/>
  <cp:lastModifiedBy>Angela Hill</cp:lastModifiedBy>
  <cp:revision>2</cp:revision>
  <cp:lastPrinted>2015-02-25T21:05:00Z</cp:lastPrinted>
  <dcterms:created xsi:type="dcterms:W3CDTF">2015-02-25T22:03:00Z</dcterms:created>
  <dcterms:modified xsi:type="dcterms:W3CDTF">2015-02-25T22:03:00Z</dcterms:modified>
</cp:coreProperties>
</file>