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021E" w:rsidRP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86E" w:rsidRDefault="008E186E" w:rsidP="006A021E">
      <w:pPr>
        <w:tabs>
          <w:tab w:val="right" w:pos="5933"/>
        </w:tabs>
        <w:suppressAutoHyphens/>
        <w:jc w:val="both"/>
        <w:rPr>
          <w:rFonts w:eastAsia="Times New Roman"/>
        </w:rPr>
      </w:pPr>
      <w:r>
        <w:rPr>
          <w:rFonts w:eastAsia="Times New Roman"/>
        </w:rPr>
        <w:t>COMMITTEE AMENDMENT ADOPTED</w:t>
      </w:r>
    </w:p>
    <w:p w:rsidR="008E186E" w:rsidRDefault="008E186E" w:rsidP="006A021E">
      <w:pPr>
        <w:tabs>
          <w:tab w:val="right" w:pos="5933"/>
        </w:tabs>
        <w:suppressAutoHyphens/>
        <w:jc w:val="both"/>
        <w:rPr>
          <w:rFonts w:eastAsia="Times New Roman"/>
        </w:rPr>
      </w:pPr>
      <w:r>
        <w:rPr>
          <w:rFonts w:eastAsia="Times New Roman"/>
        </w:rPr>
        <w:t>March 17, 2015</w:t>
      </w:r>
    </w:p>
    <w:p w:rsidR="008E186E" w:rsidRDefault="008E186E" w:rsidP="006A021E">
      <w:pPr>
        <w:tabs>
          <w:tab w:val="right" w:pos="5933"/>
        </w:tabs>
        <w:suppressAutoHyphens/>
        <w:jc w:val="both"/>
        <w:rPr>
          <w:rFonts w:eastAsia="Times New Roman"/>
        </w:rPr>
      </w:pPr>
    </w:p>
    <w:p w:rsidR="006A021E" w:rsidRPr="006A021E" w:rsidRDefault="006A021E" w:rsidP="006A021E">
      <w:pPr>
        <w:tabs>
          <w:tab w:val="right" w:pos="5933"/>
        </w:tabs>
        <w:suppressAutoHyphens/>
        <w:jc w:val="both"/>
        <w:rPr>
          <w:rFonts w:eastAsia="Times New Roman"/>
        </w:rPr>
      </w:pPr>
      <w:r>
        <w:rPr>
          <w:rFonts w:eastAsia="Times New Roman"/>
        </w:rPr>
        <w:tab/>
      </w:r>
      <w:r>
        <w:rPr>
          <w:rFonts w:eastAsia="Times New Roman"/>
          <w:b/>
          <w:sz w:val="36"/>
        </w:rPr>
        <w:t>S. 436</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Setzler, L. Martin, Malloy, Hayes and Gregory</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1E" w:rsidRDefault="006A021E" w:rsidP="007F2037">
      <w:pPr>
        <w:tabs>
          <w:tab w:val="right" w:pos="5933"/>
        </w:tabs>
        <w:suppressAutoHyphens/>
        <w:jc w:val="both"/>
        <w:rPr>
          <w:rFonts w:eastAsia="Times New Roman"/>
        </w:rPr>
      </w:pPr>
      <w:r>
        <w:rPr>
          <w:rFonts w:eastAsia="Times New Roman"/>
        </w:rPr>
        <w:t xml:space="preserve">S. Printed </w:t>
      </w:r>
      <w:r w:rsidR="008E186E">
        <w:rPr>
          <w:rFonts w:eastAsia="Times New Roman"/>
        </w:rPr>
        <w:t>3/17</w:t>
      </w:r>
      <w:r>
        <w:rPr>
          <w:rFonts w:eastAsia="Times New Roman"/>
        </w:rPr>
        <w:t>/15--S.</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6A021E" w:rsidRDefault="006A021E" w:rsidP="008E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021E" w:rsidRDefault="006A0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021E" w:rsidSect="006A021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F430C" w:rsidRDefault="006F4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7B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8E186E"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2-19-70(C), CODE OF LAWS OF SOUTH CAROLINA, 1976, RELATING TO THE TIME PERIOD FOR SEEKING OR GIVING A PLEDGE, SO AS TO PROVIDE THAT PLEDGES FOR JUDICIAL CANDIDATES MAY NOT BE DIRECTLY OR INDIRECTLY SOUGHT OR GIVEN UNTIL TWELVE DAYS, RATHER THAN FORTY-EIGHT HOURS, AFTER THE INITIAL RELEASE OF THE REPORT CONCERNING NOMINEES TO MEMBERS OF THE GENERAL ASSEMBLY; AND TO AMEND SECTION 2-19-80(E), RELATING TO </w:t>
      </w:r>
      <w:r w:rsidRPr="004A3BAA">
        <w:t xml:space="preserve">THE </w:t>
      </w:r>
      <w:r>
        <w:t xml:space="preserve">TIME BETWEEN THE RELEASE OF THE </w:t>
      </w:r>
      <w:r w:rsidRPr="004A3BAA">
        <w:t xml:space="preserve">COMMISSION’S </w:t>
      </w:r>
      <w:r>
        <w:t xml:space="preserve">REPORT ON </w:t>
      </w:r>
      <w:r w:rsidRPr="004A3BAA">
        <w:t xml:space="preserve">NOMINATIONS TO THE GENERAL ASSEMBLY AND THE </w:t>
      </w:r>
      <w:r>
        <w:t xml:space="preserve">ELECTION OF JUDGESHIPS, </w:t>
      </w:r>
      <w:r>
        <w:rPr>
          <w:rFonts w:eastAsia="Times New Roman"/>
        </w:rPr>
        <w:t>SO AS TO PROVIDE THAT THERE BE A PERIOD OF AT LEAST TWENTY-TWO DAYS, RATHER THAN TWO WEEKS, AFTER THE TIME THE REPORT IS PRINTED IN THE JOURNALS AND THE TIME OF THE ELECTION.</w:t>
      </w:r>
      <w:bookmarkEnd w:id="1"/>
    </w:p>
    <w:p w:rsidR="00522CE0" w:rsidRDefault="00522CE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E2172">
        <w:rPr>
          <w:rFonts w:eastAsia="Times New Roman"/>
        </w:rPr>
        <w:tab/>
        <w:t>Section 70, Chapter 19, Title 2 of the 1976 Code is amended to read:</w:t>
      </w: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rPr>
        <w:tab/>
        <w:t>“</w:t>
      </w:r>
      <w:r w:rsidRPr="002C5A4C">
        <w:rPr>
          <w:color w:val="000000" w:themeColor="text1"/>
          <w:u w:color="000000" w:themeColor="text1"/>
        </w:rPr>
        <w:t>(C)</w:t>
      </w:r>
      <w:r w:rsidRPr="002C5A4C">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w:t>
      </w:r>
      <w:r w:rsidRPr="002C5A4C">
        <w:rPr>
          <w:color w:val="000000" w:themeColor="text1"/>
          <w:u w:color="000000" w:themeColor="text1"/>
        </w:rPr>
        <w:lastRenderedPageBreak/>
        <w:t xml:space="preserve">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2C5A4C">
        <w:rPr>
          <w:strike/>
          <w:color w:val="000000" w:themeColor="text1"/>
          <w:u w:color="000000" w:themeColor="text1"/>
        </w:rPr>
        <w:t>forty</w:t>
      </w:r>
      <w:r w:rsidRPr="002C5A4C">
        <w:rPr>
          <w:strike/>
          <w:color w:val="000000" w:themeColor="text1"/>
          <w:u w:color="000000" w:themeColor="text1"/>
        </w:rPr>
        <w:noBreakHyphen/>
        <w:t>eight hours</w:t>
      </w:r>
      <w:r w:rsidRPr="002C5A4C">
        <w:rPr>
          <w:color w:val="000000" w:themeColor="text1"/>
          <w:u w:color="000000" w:themeColor="text1"/>
        </w:rPr>
        <w:t xml:space="preserve"> </w:t>
      </w:r>
      <w:r w:rsidRPr="002C5A4C">
        <w:rPr>
          <w:color w:val="000000" w:themeColor="text1"/>
          <w:u w:val="single"/>
        </w:rPr>
        <w:t>noon, on the twelfth 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w:t>
      </w:r>
      <w:r w:rsidRPr="006B7871">
        <w:rPr>
          <w:color w:val="000000" w:themeColor="text1"/>
          <w:u w:color="000000" w:themeColor="text1"/>
        </w:rPr>
        <w:t xml:space="preserve">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r w:rsidR="006B7871">
        <w:rPr>
          <w:color w:val="000000" w:themeColor="text1"/>
          <w:u w:color="000000" w:themeColor="text1"/>
        </w:rPr>
        <w:t>”</w:t>
      </w:r>
    </w:p>
    <w:p w:rsidR="00E807F8" w:rsidRPr="002C5A4C"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E2172" w:rsidRDefault="007F4E50"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009E2172">
        <w:rPr>
          <w:rFonts w:eastAsia="Times New Roman"/>
          <w:snapToGrid w:val="0"/>
          <w:szCs w:val="20"/>
        </w:rPr>
        <w:t>.</w:t>
      </w:r>
      <w:r w:rsidR="009E2172">
        <w:rPr>
          <w:rFonts w:eastAsia="Times New Roman"/>
          <w:snapToGrid w:val="0"/>
          <w:szCs w:val="20"/>
        </w:rPr>
        <w:tab/>
        <w:t>Section 2-19-80(E) of the 1976 Code is amended to read:</w:t>
      </w:r>
    </w:p>
    <w:p w:rsidR="00E807F8" w:rsidRDefault="00E807F8"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E2172" w:rsidRDefault="009E2172"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sidRPr="002C5A4C">
        <w:rPr>
          <w:rFonts w:eastAsia="Times New Roman"/>
          <w:snapToGrid w:val="0"/>
          <w:szCs w:val="20"/>
        </w:rPr>
        <w:t>(E)</w:t>
      </w:r>
      <w:r>
        <w:rPr>
          <w:rFonts w:eastAsia="Times New Roman"/>
          <w:snapToGrid w:val="0"/>
          <w:szCs w:val="20"/>
        </w:rPr>
        <w:tab/>
      </w:r>
      <w:r w:rsidRPr="002C5A4C">
        <w:t xml:space="preserve">A period of at least </w:t>
      </w:r>
      <w:r w:rsidRPr="002C5A4C">
        <w:rPr>
          <w:strike/>
        </w:rPr>
        <w:t>two weeks</w:t>
      </w:r>
      <w:r w:rsidRPr="002C5A4C">
        <w:t xml:space="preserve"> </w:t>
      </w:r>
      <w:r>
        <w:rPr>
          <w:u w:val="single"/>
        </w:rPr>
        <w:t>twenty-two</w:t>
      </w:r>
      <w:r w:rsidRPr="002C5A4C">
        <w:rPr>
          <w:u w:val="single"/>
        </w:rPr>
        <w:t xml:space="preserve"> days</w:t>
      </w:r>
      <w:r>
        <w:t xml:space="preserve"> </w:t>
      </w:r>
      <w:r w:rsidRPr="002C5A4C">
        <w:t xml:space="preserve">must elapse between the date of the commission’s </w:t>
      </w:r>
      <w:r>
        <w:rPr>
          <w:u w:val="single"/>
        </w:rPr>
        <w:t>inital</w:t>
      </w:r>
      <w:r w:rsidRPr="00F903D3">
        <w:rPr>
          <w:u w:val="single"/>
        </w:rPr>
        <w:t xml:space="preserve"> report of</w:t>
      </w:r>
      <w:r>
        <w:t xml:space="preserve"> </w:t>
      </w:r>
      <w:r w:rsidRPr="002C5A4C">
        <w:t>nominations to the General Assembly and the date the General Assembly conducts the election for these judgeships.</w:t>
      </w:r>
      <w:r w:rsidR="00E807F8">
        <w:t>”</w:t>
      </w:r>
    </w:p>
    <w:p w:rsidR="00D17B45" w:rsidRDefault="00D17B45"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B45" w:rsidRPr="00522CE0" w:rsidRDefault="008E186E" w:rsidP="00E8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and applies to elections taking place after July 1, 2015.</w:t>
      </w:r>
    </w:p>
    <w:p w:rsidR="00880E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6834" w:rsidRDefault="00166834" w:rsidP="00166834">
      <w:pPr>
        <w:suppressAutoHyphens/>
        <w:jc w:val="both"/>
        <w:rPr>
          <w:rFonts w:eastAsia="Times New Roman"/>
        </w:rPr>
      </w:pPr>
    </w:p>
    <w:sectPr w:rsidR="00166834" w:rsidSect="006A021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2" w:rsidRDefault="009E2172" w:rsidP="00522CE0">
      <w:r>
        <w:separator/>
      </w:r>
    </w:p>
  </w:endnote>
  <w:endnote w:type="continuationSeparator" w:id="0">
    <w:p w:rsidR="009E2172" w:rsidRDefault="009E21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891C1-7E62-4996-B709-A70274820CD4}"/>
    <w:embedBold r:id="rId2" w:fontKey="{80709F99-AD13-42E6-B6A3-9023F9CE2152}"/>
  </w:font>
  <w:font w:name="Calibri">
    <w:panose1 w:val="020F0502020204030204"/>
    <w:charset w:val="00"/>
    <w:family w:val="swiss"/>
    <w:pitch w:val="variable"/>
    <w:sig w:usb0="E10002FF" w:usb1="4000ACFF" w:usb2="00000009" w:usb3="00000000" w:csb0="0000019F" w:csb1="00000000"/>
    <w:embedRegular r:id="rId3" w:fontKey="{825CEB0D-D624-4816-8577-A13D98D440AC}"/>
  </w:font>
  <w:font w:name="Cambria">
    <w:panose1 w:val="02040503050406030204"/>
    <w:charset w:val="00"/>
    <w:family w:val="roman"/>
    <w:pitch w:val="variable"/>
    <w:sig w:usb0="E00002FF" w:usb1="400004FF" w:usb2="00000000" w:usb3="00000000" w:csb0="0000019F" w:csb1="00000000"/>
    <w:embedRegular r:id="rId4" w:fontKey="{BC39CCF5-00B3-45EA-9F4E-DB2982466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EB6" w:rsidRPr="006F430C" w:rsidRDefault="006F430C" w:rsidP="006F430C">
    <w:pPr>
      <w:pStyle w:val="Footer"/>
      <w:tabs>
        <w:tab w:val="clear" w:pos="4680"/>
        <w:tab w:val="clear" w:pos="9360"/>
        <w:tab w:val="center" w:pos="2995"/>
      </w:tabs>
      <w:spacing w:before="120"/>
    </w:pPr>
    <w:r>
      <w:t>[436</w:t>
    </w:r>
    <w:r w:rsidR="006A021E">
      <w:t>-</w:t>
    </w:r>
    <w:r w:rsidR="006A021E">
      <w:fldChar w:fldCharType="begin"/>
    </w:r>
    <w:r w:rsidR="006A021E">
      <w:instrText xml:space="preserve"> PAGE  \* MERGEFORMAT </w:instrText>
    </w:r>
    <w:r w:rsidR="006A021E">
      <w:fldChar w:fldCharType="separate"/>
    </w:r>
    <w:r w:rsidR="00166834">
      <w:rPr>
        <w:noProof/>
      </w:rPr>
      <w:t>1</w:t>
    </w:r>
    <w:r w:rsidR="006A021E">
      <w:fldChar w:fldCharType="end"/>
    </w:r>
    <w:r w:rsidR="006A02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1E" w:rsidRPr="006F430C" w:rsidRDefault="006A021E" w:rsidP="006F430C">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1668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2" w:rsidRDefault="009E2172" w:rsidP="00522CE0">
      <w:r>
        <w:separator/>
      </w:r>
    </w:p>
  </w:footnote>
  <w:footnote w:type="continuationSeparator" w:id="0">
    <w:p w:rsidR="009E2172" w:rsidRDefault="009E21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JS"/>
    <w:docVar w:name="CoverAttorneyInitials" w:val="JS"/>
    <w:docVar w:name="CoverAttorneyLastName" w:val="Shuler"/>
    <w:docVar w:name="CoverBillType" w:val="b"/>
    <w:docVar w:name="DraftFileName" w:val="JUD0052.JS.DOCX"/>
    <w:docVar w:name="DraftStenoName" w:val="Knipp"/>
    <w:docVar w:name="dvBillNumber" w:val="436"/>
    <w:docVar w:name="dvBillNumberPrefix" w:val="S. "/>
    <w:docVar w:name="dvOriginalBody" w:val="Senate"/>
    <w:docVar w:name="fulldraftpath" w:val="L:\S-JUD\BILLS\Campsen\JUD0052.JS.DOCX"/>
    <w:docVar w:name="NameofBody" w:val="S"/>
    <w:docVar w:name="SenatorFolderName" w:val="Campsen"/>
    <w:docVar w:name="VGROUP2" w:val="S-JUD"/>
  </w:docVars>
  <w:rsids>
    <w:rsidRoot w:val="00D17B45"/>
    <w:rsid w:val="000141EB"/>
    <w:rsid w:val="00042AC1"/>
    <w:rsid w:val="00046516"/>
    <w:rsid w:val="000A4D08"/>
    <w:rsid w:val="000A6988"/>
    <w:rsid w:val="000B0720"/>
    <w:rsid w:val="000B5EAF"/>
    <w:rsid w:val="000E473B"/>
    <w:rsid w:val="000F002B"/>
    <w:rsid w:val="00107C3D"/>
    <w:rsid w:val="00126995"/>
    <w:rsid w:val="0016543B"/>
    <w:rsid w:val="00165BF7"/>
    <w:rsid w:val="00166834"/>
    <w:rsid w:val="00170561"/>
    <w:rsid w:val="00186AC9"/>
    <w:rsid w:val="00190F47"/>
    <w:rsid w:val="00197DF1"/>
    <w:rsid w:val="001B3DD9"/>
    <w:rsid w:val="001C23C9"/>
    <w:rsid w:val="001D3BAC"/>
    <w:rsid w:val="0020051E"/>
    <w:rsid w:val="00206D3D"/>
    <w:rsid w:val="00221A5C"/>
    <w:rsid w:val="0024519E"/>
    <w:rsid w:val="00245C4E"/>
    <w:rsid w:val="002C5896"/>
    <w:rsid w:val="00307C2B"/>
    <w:rsid w:val="0031409E"/>
    <w:rsid w:val="0032109A"/>
    <w:rsid w:val="00333DF1"/>
    <w:rsid w:val="0033541C"/>
    <w:rsid w:val="00337445"/>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ED4"/>
    <w:rsid w:val="005F15E4"/>
    <w:rsid w:val="00600221"/>
    <w:rsid w:val="00606D23"/>
    <w:rsid w:val="00641A16"/>
    <w:rsid w:val="006431BA"/>
    <w:rsid w:val="006A021E"/>
    <w:rsid w:val="006B4B3C"/>
    <w:rsid w:val="006B7871"/>
    <w:rsid w:val="006C74EA"/>
    <w:rsid w:val="006F430C"/>
    <w:rsid w:val="00720D40"/>
    <w:rsid w:val="0073026D"/>
    <w:rsid w:val="007311B4"/>
    <w:rsid w:val="007318D4"/>
    <w:rsid w:val="00746551"/>
    <w:rsid w:val="00765784"/>
    <w:rsid w:val="00793C6F"/>
    <w:rsid w:val="007A4390"/>
    <w:rsid w:val="007C65B0"/>
    <w:rsid w:val="007E3B8F"/>
    <w:rsid w:val="007E5CB7"/>
    <w:rsid w:val="007F2037"/>
    <w:rsid w:val="007F4E50"/>
    <w:rsid w:val="00814EED"/>
    <w:rsid w:val="008314D2"/>
    <w:rsid w:val="008804AE"/>
    <w:rsid w:val="00880EB6"/>
    <w:rsid w:val="00894939"/>
    <w:rsid w:val="008B2F42"/>
    <w:rsid w:val="008E185F"/>
    <w:rsid w:val="008E186E"/>
    <w:rsid w:val="008E5870"/>
    <w:rsid w:val="008F023B"/>
    <w:rsid w:val="008F7524"/>
    <w:rsid w:val="00904E16"/>
    <w:rsid w:val="00927C62"/>
    <w:rsid w:val="00930119"/>
    <w:rsid w:val="00931A96"/>
    <w:rsid w:val="00983951"/>
    <w:rsid w:val="00984124"/>
    <w:rsid w:val="00984640"/>
    <w:rsid w:val="00995C37"/>
    <w:rsid w:val="009A7B72"/>
    <w:rsid w:val="009C118A"/>
    <w:rsid w:val="009E2172"/>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A6DE7"/>
    <w:rsid w:val="00CB187A"/>
    <w:rsid w:val="00CD1843"/>
    <w:rsid w:val="00CD7C71"/>
    <w:rsid w:val="00D1088B"/>
    <w:rsid w:val="00D156D2"/>
    <w:rsid w:val="00D17B45"/>
    <w:rsid w:val="00D77EC0"/>
    <w:rsid w:val="00D86943"/>
    <w:rsid w:val="00DA47B9"/>
    <w:rsid w:val="00E677A1"/>
    <w:rsid w:val="00E807F8"/>
    <w:rsid w:val="00E91E2F"/>
    <w:rsid w:val="00EA3546"/>
    <w:rsid w:val="00EB1AAC"/>
    <w:rsid w:val="00EB47AE"/>
    <w:rsid w:val="00EC34E1"/>
    <w:rsid w:val="00ED0AE1"/>
    <w:rsid w:val="00F0234A"/>
    <w:rsid w:val="00F312EA"/>
    <w:rsid w:val="00F52959"/>
    <w:rsid w:val="00F532D4"/>
    <w:rsid w:val="00F55884"/>
    <w:rsid w:val="00F7285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32961BC-4C63-4404-A254-807AB5D1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A021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B80BF02E.dotm</Template>
  <TotalTime>0</TotalTime>
  <Pages>3</Pages>
  <Words>516</Words>
  <Characters>2590</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 Text of Previous Version (Mar. 17, 2015) - South Carolina Legislature Online</dc:title>
  <dc:subject/>
  <dc:creator>%USERNAME%</dc:creator>
  <cp:keywords/>
  <dc:description/>
  <cp:lastModifiedBy>Brent Walling</cp:lastModifiedBy>
  <cp:revision>2</cp:revision>
  <dcterms:created xsi:type="dcterms:W3CDTF">2015-03-17T18:07:00Z</dcterms:created>
  <dcterms:modified xsi:type="dcterms:W3CDTF">2015-03-17T18:07:00Z</dcterms:modified>
</cp:coreProperties>
</file>