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8A6" w:rsidRDefault="00B838A6"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7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Pr="004B1C00"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1C00">
        <w:rPr>
          <w:color w:val="000000" w:themeColor="text1"/>
          <w:u w:color="000000" w:themeColor="text1"/>
        </w:rPr>
        <w:t>TO AMEND SECTION 59</w:t>
      </w:r>
      <w:r w:rsidRPr="004B1C00">
        <w:rPr>
          <w:color w:val="000000" w:themeColor="text1"/>
          <w:u w:color="000000" w:themeColor="text1"/>
        </w:rPr>
        <w:noBreakHyphen/>
        <w:t>63</w:t>
      </w:r>
      <w:r w:rsidRPr="004B1C00">
        <w:rPr>
          <w:color w:val="000000" w:themeColor="text1"/>
          <w:u w:color="000000" w:themeColor="text1"/>
        </w:rPr>
        <w:noBreakHyphen/>
        <w:t>75, CODE OF LAWS OF SOUTH CAROLINA, 1976, RELATING TO CONCUSSION PROTOCOL FOR HIGH SCHOOL FOOTBALL GAMES, SO AS TO REQUIRE THE USE OF CERTIFIED ATHLETIC TRAINERS,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3CE">
        <w:rPr>
          <w:color w:val="000000" w:themeColor="text1"/>
          <w:u w:color="000000" w:themeColor="text1"/>
        </w:rPr>
        <w:t>SECTION</w:t>
      </w:r>
      <w:r w:rsidR="00D95E4E">
        <w:rPr>
          <w:color w:val="000000" w:themeColor="text1"/>
          <w:u w:color="000000" w:themeColor="text1"/>
        </w:rPr>
        <w:tab/>
      </w:r>
      <w:r w:rsidRPr="00B613CE">
        <w:rPr>
          <w:color w:val="000000" w:themeColor="text1"/>
          <w:u w:color="000000" w:themeColor="text1"/>
        </w:rPr>
        <w:t>1.</w:t>
      </w:r>
      <w:r w:rsidR="00D95E4E">
        <w:rPr>
          <w:color w:val="000000" w:themeColor="text1"/>
          <w:u w:color="000000" w:themeColor="text1"/>
        </w:rPr>
        <w:tab/>
      </w:r>
      <w:r w:rsidRPr="00B613CE">
        <w:rPr>
          <w:color w:val="000000" w:themeColor="text1"/>
          <w:u w:color="000000" w:themeColor="text1"/>
        </w:rPr>
        <w:t>Section 59</w:t>
      </w:r>
      <w:r w:rsidRPr="00B613CE">
        <w:rPr>
          <w:color w:val="000000" w:themeColor="text1"/>
          <w:u w:color="000000" w:themeColor="text1"/>
        </w:rPr>
        <w:noBreakHyphen/>
        <w:t>63</w:t>
      </w:r>
      <w:r w:rsidRPr="00B613CE">
        <w:rPr>
          <w:color w:val="000000" w:themeColor="text1"/>
          <w:u w:color="000000" w:themeColor="text1"/>
        </w:rPr>
        <w:noBreakHyphen/>
        <w:t>75 of the 1976 Code, as added by Act 33 of 2013, is amended to read:</w:t>
      </w:r>
    </w:p>
    <w:p w:rsidR="00B728C9"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823" w:rsidRPr="00E17BA7"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6823" w:rsidRPr="00E17BA7">
        <w:rPr>
          <w:color w:val="000000" w:themeColor="text1"/>
          <w:u w:color="000000" w:themeColor="text1"/>
        </w:rPr>
        <w:t>(A)</w:t>
      </w:r>
      <w:r>
        <w:rPr>
          <w:color w:val="000000" w:themeColor="text1"/>
          <w:u w:color="000000" w:themeColor="text1"/>
        </w:rPr>
        <w:tab/>
      </w:r>
      <w:r w:rsidR="007F6823" w:rsidRPr="00E17BA7">
        <w:rPr>
          <w:color w:val="000000" w:themeColor="text1"/>
          <w:u w:color="000000" w:themeColor="text1"/>
        </w:rPr>
        <w:t>The South Carolina Department of Health and Environmental Control</w:t>
      </w:r>
      <w:r>
        <w:rPr>
          <w:color w:val="000000" w:themeColor="text1"/>
          <w:u w:color="000000" w:themeColor="text1"/>
        </w:rPr>
        <w:t xml:space="preserve"> </w:t>
      </w:r>
      <w:r>
        <w:rPr>
          <w:color w:val="000000" w:themeColor="text1"/>
          <w:u w:val="single" w:color="000000" w:themeColor="text1"/>
        </w:rPr>
        <w:t>(DHEC)</w:t>
      </w:r>
      <w:r w:rsidR="007F6823" w:rsidRPr="00E17BA7">
        <w:rPr>
          <w:color w:val="000000" w:themeColor="text1"/>
          <w:u w:color="000000" w:themeColor="text1"/>
        </w:rPr>
        <w:t xml:space="preserve">, in consultation with the State Department of Education, shall post on its website nationally recognized guidelines and procedures regarding the identification and management of suspected concussions in student athletes. </w:t>
      </w:r>
      <w:r w:rsidR="007F6823" w:rsidRPr="00B728C9">
        <w:rPr>
          <w:strike/>
          <w:color w:val="000000" w:themeColor="text1"/>
          <w:u w:color="000000" w:themeColor="text1"/>
        </w:rPr>
        <w:t>The Department of Health and Environmental Control</w:t>
      </w:r>
      <w:r w:rsidR="007F6823" w:rsidRPr="00E17BA7">
        <w:rPr>
          <w:color w:val="000000" w:themeColor="text1"/>
          <w:u w:color="000000" w:themeColor="text1"/>
        </w:rPr>
        <w:t xml:space="preserve"> </w:t>
      </w:r>
      <w:r>
        <w:rPr>
          <w:color w:val="000000" w:themeColor="text1"/>
          <w:u w:val="single" w:color="000000" w:themeColor="text1"/>
        </w:rPr>
        <w:t>DHEC</w:t>
      </w:r>
      <w:r>
        <w:rPr>
          <w:color w:val="000000" w:themeColor="text1"/>
          <w:u w:color="000000" w:themeColor="text1"/>
        </w:rPr>
        <w:t xml:space="preserve"> </w:t>
      </w:r>
      <w:r w:rsidR="007F6823" w:rsidRPr="00E17BA7">
        <w:rPr>
          <w:color w:val="000000" w:themeColor="text1"/>
          <w:u w:color="000000" w:themeColor="text1"/>
        </w:rPr>
        <w:t>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section apply to South Carolina High School League</w:t>
      </w:r>
      <w:r w:rsidR="007F6823" w:rsidRPr="00E17BA7">
        <w:rPr>
          <w:color w:val="000000" w:themeColor="text1"/>
          <w:u w:color="000000" w:themeColor="text1"/>
        </w:rPr>
        <w:noBreakHyphen/>
        <w:t>sanctioned events.</w:t>
      </w:r>
    </w:p>
    <w:p w:rsidR="007F6823" w:rsidRPr="00B728C9"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(B)</w:t>
      </w:r>
      <w:r w:rsidR="00B728C9">
        <w:rPr>
          <w:color w:val="000000" w:themeColor="text1"/>
          <w:u w:color="000000" w:themeColor="text1"/>
        </w:rPr>
        <w:tab/>
      </w:r>
      <w:r w:rsidRPr="00E17BA7">
        <w:rPr>
          <w:color w:val="000000" w:themeColor="text1"/>
          <w:u w:color="000000" w:themeColor="text1"/>
        </w:rPr>
        <w:t>A local school district shall develop guidelines and procedures based on the model guidelines and procedures referenced in subsection (A).</w:t>
      </w:r>
      <w:r w:rsidR="00B728C9">
        <w:rPr>
          <w:color w:val="000000" w:themeColor="text1"/>
          <w:u w:color="000000" w:themeColor="text1"/>
        </w:rPr>
        <w:t xml:space="preserve">  </w:t>
      </w:r>
      <w:r w:rsidR="00B728C9">
        <w:rPr>
          <w:color w:val="000000" w:themeColor="text1"/>
          <w:u w:val="single" w:color="000000" w:themeColor="text1"/>
        </w:rPr>
        <w:t xml:space="preserve">These guidelines must require the use </w:t>
      </w:r>
      <w:r w:rsidR="00B728C9">
        <w:rPr>
          <w:color w:val="000000" w:themeColor="text1"/>
          <w:u w:val="single" w:color="000000" w:themeColor="text1"/>
        </w:rPr>
        <w:lastRenderedPageBreak/>
        <w:t>of a certified athletic trainer throughout a high school interscholastic football game.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(C)</w:t>
      </w:r>
      <w:r w:rsidR="00B728C9">
        <w:rPr>
          <w:color w:val="000000" w:themeColor="text1"/>
          <w:u w:color="000000" w:themeColor="text1"/>
        </w:rPr>
        <w:tab/>
      </w:r>
      <w:r w:rsidRPr="00E17BA7">
        <w:rPr>
          <w:color w:val="000000" w:themeColor="text1"/>
          <w:u w:color="000000" w:themeColor="text1"/>
        </w:rPr>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(D)(1)</w:t>
      </w:r>
      <w:r w:rsidR="00B728C9">
        <w:rPr>
          <w:color w:val="000000" w:themeColor="text1"/>
          <w:u w:color="000000" w:themeColor="text1"/>
        </w:rPr>
        <w:tab/>
      </w:r>
      <w:r w:rsidRPr="00E17BA7">
        <w:rPr>
          <w:color w:val="000000" w:themeColor="text1"/>
          <w:u w:color="000000" w:themeColor="text1"/>
        </w:rPr>
        <w:t xml:space="preserve">If a coach,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official, or physician suspects that a student athlete, under the control of the coach,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official, or physician, has sustained a concussion or brain injury in a practice or in an athletic competition, the student athlete </w:t>
      </w:r>
      <w:r w:rsidRPr="00B728C9">
        <w:rPr>
          <w:strike/>
          <w:color w:val="000000" w:themeColor="text1"/>
          <w:u w:color="000000" w:themeColor="text1"/>
        </w:rPr>
        <w:t>shall</w:t>
      </w:r>
      <w:r w:rsidRPr="00E17BA7">
        <w:rPr>
          <w:color w:val="000000" w:themeColor="text1"/>
          <w:u w:color="000000" w:themeColor="text1"/>
        </w:rPr>
        <w:t xml:space="preserve"> </w:t>
      </w:r>
      <w:r w:rsidR="00B728C9">
        <w:rPr>
          <w:color w:val="000000" w:themeColor="text1"/>
          <w:u w:val="single" w:color="000000" w:themeColor="text1"/>
        </w:rPr>
        <w:t>must</w:t>
      </w:r>
      <w:r w:rsidR="00B728C9">
        <w:rPr>
          <w:color w:val="000000" w:themeColor="text1"/>
          <w:u w:color="000000" w:themeColor="text1"/>
        </w:rPr>
        <w:t xml:space="preserve"> </w:t>
      </w:r>
      <w:r w:rsidRPr="00E17BA7">
        <w:rPr>
          <w:color w:val="000000" w:themeColor="text1"/>
          <w:u w:color="000000" w:themeColor="text1"/>
        </w:rPr>
        <w:t>be removed from practice or competition at that time.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(2)</w:t>
      </w:r>
      <w:r w:rsidR="00B728C9">
        <w:rPr>
          <w:color w:val="000000" w:themeColor="text1"/>
          <w:u w:color="000000" w:themeColor="text1"/>
        </w:rPr>
        <w:tab/>
      </w:r>
      <w:r w:rsidRPr="00E17BA7">
        <w:rPr>
          <w:color w:val="000000" w:themeColor="text1"/>
          <w:u w:color="000000" w:themeColor="text1"/>
        </w:rPr>
        <w:t xml:space="preserve">A student athlete who has been removed from play may return to play if, as a result of evaluating the student athlete on site, the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athletic trainer, physician, physician assistant pursuant to scope of practice guidelines, or nurse practitioner pursuant to a written protocol determines in his best professional judgment that the student athlete does not have any signs or symptoms of a concussion or brain injury.</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(3)</w:t>
      </w:r>
      <w:r w:rsidR="00B728C9">
        <w:rPr>
          <w:color w:val="000000" w:themeColor="text1"/>
          <w:u w:color="000000" w:themeColor="text1"/>
        </w:rPr>
        <w:tab/>
      </w:r>
      <w:r w:rsidRPr="00E17BA7">
        <w:rPr>
          <w:color w:val="000000" w:themeColor="text1"/>
          <w:u w:color="000000" w:themeColor="text1"/>
        </w:rPr>
        <w:t>A student athlete who has been removed from play and evaluated and who is suspected of having a concussion or brain injury may not return to play until the student athlete has received written medical clearance by a physician.</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(4)</w:t>
      </w:r>
      <w:r w:rsidR="00B728C9">
        <w:rPr>
          <w:color w:val="000000" w:themeColor="text1"/>
          <w:u w:color="000000" w:themeColor="text1"/>
        </w:rPr>
        <w:tab/>
      </w:r>
      <w:r w:rsidRPr="00E17BA7">
        <w:rPr>
          <w:color w:val="000000" w:themeColor="text1"/>
          <w:u w:color="000000" w:themeColor="text1"/>
        </w:rPr>
        <w:t xml:space="preserve">In addition to posting information regarding the recognition and management of concussions in student athletes, the Department of Health and Environmental Control, in consultation with health care provider organizations, shall post on its website continuing education opportunities in concussion evaluation and management available to providers making such medical determinations. </w:t>
      </w:r>
      <w:r w:rsidRPr="00B728C9">
        <w:rPr>
          <w:strike/>
          <w:color w:val="000000" w:themeColor="text1"/>
          <w:u w:color="000000" w:themeColor="text1"/>
        </w:rPr>
        <w:t>Such</w:t>
      </w:r>
      <w:r w:rsidRPr="00E17BA7">
        <w:rPr>
          <w:color w:val="000000" w:themeColor="text1"/>
          <w:u w:color="000000" w:themeColor="text1"/>
        </w:rPr>
        <w:t xml:space="preserve"> </w:t>
      </w:r>
      <w:r w:rsidR="00B728C9">
        <w:rPr>
          <w:color w:val="000000" w:themeColor="text1"/>
          <w:u w:val="single" w:color="000000" w:themeColor="text1"/>
        </w:rPr>
        <w:t>This</w:t>
      </w:r>
      <w:r w:rsidR="00B728C9">
        <w:rPr>
          <w:color w:val="000000" w:themeColor="text1"/>
          <w:u w:color="000000" w:themeColor="text1"/>
        </w:rPr>
        <w:t xml:space="preserve"> </w:t>
      </w:r>
      <w:r w:rsidRPr="00E17BA7">
        <w:rPr>
          <w:color w:val="000000" w:themeColor="text1"/>
          <w:u w:color="000000" w:themeColor="text1"/>
        </w:rPr>
        <w:t>information must be posted by the department upon receipt from a participating health care organization.</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(5)</w:t>
      </w:r>
      <w:r w:rsidR="00B728C9">
        <w:rPr>
          <w:color w:val="000000" w:themeColor="text1"/>
          <w:u w:color="000000" w:themeColor="text1"/>
        </w:rPr>
        <w:tab/>
      </w:r>
      <w:r w:rsidRPr="00E17BA7">
        <w:rPr>
          <w:color w:val="000000" w:themeColor="text1"/>
          <w:u w:color="000000" w:themeColor="text1"/>
        </w:rPr>
        <w:t xml:space="preserve">The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physician, physician assistant, or nurse practitioner who evaluates the student athlete during practice or an athletic competition and authorizes the student athlete to return to play is not liable for civil damages resulting from an act or omission in rendering this decision, other than acts or omissions constituting gross negligence or wilful, wanton </w:t>
      </w:r>
      <w:r w:rsidRPr="00E17BA7">
        <w:rPr>
          <w:color w:val="000000" w:themeColor="text1"/>
          <w:u w:color="000000" w:themeColor="text1"/>
        </w:rPr>
        <w:lastRenderedPageBreak/>
        <w:t xml:space="preserve">misconduct. This immunity applies to </w:t>
      </w:r>
      <w:r w:rsidRPr="00B728C9">
        <w:rPr>
          <w:strike/>
          <w:color w:val="000000" w:themeColor="text1"/>
          <w:u w:color="000000" w:themeColor="text1"/>
        </w:rPr>
        <w:t>an</w:t>
      </w:r>
      <w:r w:rsidRPr="00E17BA7">
        <w:rPr>
          <w:color w:val="000000" w:themeColor="text1"/>
          <w:u w:color="000000" w:themeColor="text1"/>
        </w:rPr>
        <w:t xml:space="preserve"> </w:t>
      </w:r>
      <w:r w:rsidR="00B728C9">
        <w:rPr>
          <w:color w:val="000000" w:themeColor="text1"/>
          <w:u w:val="single" w:color="000000" w:themeColor="text1"/>
        </w:rPr>
        <w:t>a certified</w:t>
      </w:r>
      <w:r w:rsidR="00B728C9">
        <w:rPr>
          <w:color w:val="000000" w:themeColor="text1"/>
          <w:u w:color="000000" w:themeColor="text1"/>
        </w:rPr>
        <w:t xml:space="preserve"> </w:t>
      </w:r>
      <w:r w:rsidRPr="00E17BA7">
        <w:rPr>
          <w:color w:val="000000" w:themeColor="text1"/>
          <w:u w:color="000000" w:themeColor="text1"/>
        </w:rPr>
        <w:t>athletic trainer, physician, physician assistant, or nurse practitioner serving as a volunteer.</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(E)</w:t>
      </w:r>
      <w:r w:rsidR="00B728C9">
        <w:rPr>
          <w:color w:val="000000" w:themeColor="text1"/>
          <w:u w:color="000000" w:themeColor="text1"/>
        </w:rPr>
        <w:tab/>
      </w:r>
      <w:r w:rsidRPr="00E17BA7">
        <w:rPr>
          <w:color w:val="000000" w:themeColor="text1"/>
          <w:u w:color="000000" w:themeColor="text1"/>
        </w:rPr>
        <w:t>For purposes of this section:</w:t>
      </w:r>
    </w:p>
    <w:p w:rsidR="00B728C9" w:rsidRPr="00B728C9"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val="single" w:color="000000" w:themeColor="text1"/>
        </w:rPr>
        <w:tab/>
        <w:t>‘Certified athletic trainer’ means a person certified as an athletic trainer by DHEC.</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r>
      <w:r w:rsidRPr="004C615F">
        <w:rPr>
          <w:strike/>
          <w:color w:val="000000" w:themeColor="text1"/>
          <w:u w:color="000000" w:themeColor="text1"/>
        </w:rPr>
        <w:t>(1)</w:t>
      </w:r>
      <w:r w:rsidR="004C615F">
        <w:rPr>
          <w:color w:val="000000" w:themeColor="text1"/>
          <w:u w:val="single" w:color="000000" w:themeColor="text1"/>
        </w:rPr>
        <w:t>(2)</w:t>
      </w:r>
      <w:r w:rsidR="00B728C9">
        <w:rPr>
          <w:color w:val="000000" w:themeColor="text1"/>
          <w:u w:color="000000" w:themeColor="text1"/>
        </w:rPr>
        <w:tab/>
        <w:t>‘</w:t>
      </w:r>
      <w:r w:rsidRPr="00E17BA7">
        <w:rPr>
          <w:color w:val="000000" w:themeColor="text1"/>
          <w:u w:color="000000" w:themeColor="text1"/>
        </w:rPr>
        <w:t>Physician</w:t>
      </w:r>
      <w:r w:rsidR="00B728C9">
        <w:rPr>
          <w:color w:val="000000" w:themeColor="text1"/>
          <w:u w:color="000000" w:themeColor="text1"/>
        </w:rPr>
        <w:t>’</w:t>
      </w:r>
      <w:r w:rsidRPr="00E17BA7">
        <w:rPr>
          <w:color w:val="000000" w:themeColor="text1"/>
          <w:u w:color="000000" w:themeColor="text1"/>
        </w:rPr>
        <w:t xml:space="preserve"> is defined in the same manner as provided in Section 40</w:t>
      </w:r>
      <w:r w:rsidRPr="00E17BA7">
        <w:rPr>
          <w:color w:val="000000" w:themeColor="text1"/>
          <w:u w:color="000000" w:themeColor="text1"/>
        </w:rPr>
        <w:noBreakHyphen/>
        <w:t>47</w:t>
      </w:r>
      <w:r w:rsidRPr="00E17BA7">
        <w:rPr>
          <w:color w:val="000000" w:themeColor="text1"/>
          <w:u w:color="000000" w:themeColor="text1"/>
        </w:rPr>
        <w:noBreakHyphen/>
        <w:t>20(35).</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r>
      <w:r w:rsidRPr="004C615F">
        <w:rPr>
          <w:strike/>
          <w:color w:val="000000" w:themeColor="text1"/>
          <w:u w:color="000000" w:themeColor="text1"/>
        </w:rPr>
        <w:t>(2)</w:t>
      </w:r>
      <w:r w:rsidR="004C615F">
        <w:rPr>
          <w:color w:val="000000" w:themeColor="text1"/>
          <w:u w:val="single" w:color="000000" w:themeColor="text1"/>
        </w:rPr>
        <w:t>(3)</w:t>
      </w:r>
      <w:r w:rsidR="00B728C9">
        <w:rPr>
          <w:color w:val="000000" w:themeColor="text1"/>
          <w:u w:color="000000" w:themeColor="text1"/>
        </w:rPr>
        <w:tab/>
        <w:t>‘</w:t>
      </w:r>
      <w:r w:rsidRPr="00E17BA7">
        <w:rPr>
          <w:color w:val="000000" w:themeColor="text1"/>
          <w:u w:color="000000" w:themeColor="text1"/>
        </w:rPr>
        <w:t>Student athlete</w:t>
      </w:r>
      <w:r w:rsidR="00B728C9">
        <w:rPr>
          <w:color w:val="000000" w:themeColor="text1"/>
          <w:u w:color="000000" w:themeColor="text1"/>
        </w:rPr>
        <w:t>’</w:t>
      </w:r>
      <w:r w:rsidRPr="00E17BA7">
        <w:rPr>
          <w:color w:val="000000" w:themeColor="text1"/>
          <w:u w:color="000000" w:themeColor="text1"/>
        </w:rPr>
        <w:t xml:space="preserve"> includes cheerleaders.</w:t>
      </w:r>
      <w:r w:rsidR="00B728C9">
        <w:rPr>
          <w:color w:val="000000" w:themeColor="text1"/>
          <w:u w:color="000000" w:themeColor="text1"/>
        </w:rPr>
        <w:t>”</w:t>
      </w: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15F">
        <w:t>2</w:t>
      </w:r>
      <w:r>
        <w:t>.</w:t>
      </w:r>
      <w:r>
        <w:tab/>
        <w:t>This act takes effect upon approval by the Governor.</w:t>
      </w:r>
    </w:p>
    <w:p w:rsidR="000F61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8A6" w:rsidRDefault="00B838A6" w:rsidP="00B838A6">
      <w:pPr>
        <w:suppressAutoHyphens/>
      </w:pPr>
    </w:p>
    <w:sectPr w:rsidR="00B838A6" w:rsidSect="00B838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C9" w:rsidRDefault="00B728C9" w:rsidP="009F0C77">
      <w:r>
        <w:separator/>
      </w:r>
    </w:p>
  </w:endnote>
  <w:endnote w:type="continuationSeparator" w:id="0">
    <w:p w:rsidR="00B728C9" w:rsidRDefault="00B72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F4DF1C-1837-439C-BB50-07059A9DE5FC}"/>
    <w:embedBold r:id="rId2" w:fontKey="{0642DE6C-A0A7-45BE-8A0E-324E95307C2A}"/>
  </w:font>
  <w:font w:name="Calibri">
    <w:panose1 w:val="020F0502020204030204"/>
    <w:charset w:val="00"/>
    <w:family w:val="swiss"/>
    <w:pitch w:val="variable"/>
    <w:sig w:usb0="E00002FF" w:usb1="4000ACFF" w:usb2="00000001" w:usb3="00000000" w:csb0="0000019F" w:csb1="00000000"/>
    <w:embedRegular r:id="rId3" w:fontKey="{53E18443-5372-47BD-A9D2-7BB6C7564DBB}"/>
  </w:font>
  <w:font w:name="Segoe UI">
    <w:panose1 w:val="020B0502040204020203"/>
    <w:charset w:val="00"/>
    <w:family w:val="swiss"/>
    <w:pitch w:val="variable"/>
    <w:sig w:usb0="E10022FF" w:usb1="C000E47F" w:usb2="00000029" w:usb3="00000000" w:csb0="000001DF" w:csb1="00000000"/>
    <w:embedRegular r:id="rId4" w:fontKey="{58E81FC5-648F-43DC-B17D-336FA0C23567}"/>
  </w:font>
  <w:font w:name="Cambria">
    <w:panose1 w:val="02040503050406030204"/>
    <w:charset w:val="00"/>
    <w:family w:val="roman"/>
    <w:pitch w:val="variable"/>
    <w:sig w:usb0="E00002FF" w:usb1="400004FF" w:usb2="00000000" w:usb3="00000000" w:csb0="0000019F" w:csb1="00000000"/>
    <w:embedRegular r:id="rId5" w:fontKey="{0A3AB078-42F6-49BF-9D63-B9AD5E658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1FD" w:rsidRPr="00B838A6" w:rsidRDefault="00B838A6" w:rsidP="00B838A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C9" w:rsidRDefault="00B728C9" w:rsidP="009F0C77">
      <w:r>
        <w:separator/>
      </w:r>
    </w:p>
  </w:footnote>
  <w:footnote w:type="continuationSeparator" w:id="0">
    <w:p w:rsidR="00B728C9" w:rsidRDefault="00B72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5AB16"/>
    <w:docVar w:name="CoverBillType" w:val="b"/>
    <w:docVar w:name="docpath" w:val="L:\Council\bills\BH\26355AB16.DOCX"/>
    <w:docVar w:name="dvBillNumber" w:val="4437"/>
    <w:docVar w:name="dvBillNumberPrefix" w:val="H. "/>
    <w:docVar w:name="dvOriginalBody" w:val="House"/>
    <w:docVar w:name="dvSteno" w:val="BH"/>
    <w:docVar w:name="NameofBody" w:val="h"/>
    <w:docVar w:name="vgroup2" w:val="Council"/>
  </w:docVars>
  <w:rsids>
    <w:rsidRoot w:val="00B93779"/>
    <w:rsid w:val="00011869"/>
    <w:rsid w:val="00015CD6"/>
    <w:rsid w:val="000E1785"/>
    <w:rsid w:val="000F40FA"/>
    <w:rsid w:val="000F61FD"/>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15F"/>
    <w:rsid w:val="004E7D54"/>
    <w:rsid w:val="005273C6"/>
    <w:rsid w:val="00530A69"/>
    <w:rsid w:val="00545593"/>
    <w:rsid w:val="005466E4"/>
    <w:rsid w:val="005549A3"/>
    <w:rsid w:val="00577C6C"/>
    <w:rsid w:val="005C2FE2"/>
    <w:rsid w:val="005E2BC9"/>
    <w:rsid w:val="00605102"/>
    <w:rsid w:val="006215AA"/>
    <w:rsid w:val="006913C9"/>
    <w:rsid w:val="0069470D"/>
    <w:rsid w:val="00734F00"/>
    <w:rsid w:val="007A70AE"/>
    <w:rsid w:val="007D1CD6"/>
    <w:rsid w:val="007F6823"/>
    <w:rsid w:val="008362E8"/>
    <w:rsid w:val="008A1768"/>
    <w:rsid w:val="008F0F33"/>
    <w:rsid w:val="008F4429"/>
    <w:rsid w:val="0094021A"/>
    <w:rsid w:val="009B44AF"/>
    <w:rsid w:val="009C6A0B"/>
    <w:rsid w:val="009F0C77"/>
    <w:rsid w:val="009F4DD1"/>
    <w:rsid w:val="00A41684"/>
    <w:rsid w:val="00A50D89"/>
    <w:rsid w:val="00A64E80"/>
    <w:rsid w:val="00A72BCD"/>
    <w:rsid w:val="00A741D9"/>
    <w:rsid w:val="00A833AB"/>
    <w:rsid w:val="00A9741D"/>
    <w:rsid w:val="00AD4B17"/>
    <w:rsid w:val="00AE1EB8"/>
    <w:rsid w:val="00B412D4"/>
    <w:rsid w:val="00B728C9"/>
    <w:rsid w:val="00B838A6"/>
    <w:rsid w:val="00B93779"/>
    <w:rsid w:val="00BE3C22"/>
    <w:rsid w:val="00C0345E"/>
    <w:rsid w:val="00C3483A"/>
    <w:rsid w:val="00C74E9D"/>
    <w:rsid w:val="00C82FD3"/>
    <w:rsid w:val="00C92819"/>
    <w:rsid w:val="00CC6B7B"/>
    <w:rsid w:val="00CD2089"/>
    <w:rsid w:val="00D73A67"/>
    <w:rsid w:val="00D95E4E"/>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542A8-64F0-4BAE-8460-971E2ED8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1CC60-8D1E-4EC8-9D73-CEF3A8D8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704</Words>
  <Characters>3999</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4437 Text of Previous Version (Dec. 3, 2015) - South Carolina Legislature Online</dc:title>
  <dc:creator>%USERNAME%</dc:creator>
  <cp:lastModifiedBy>N Cumfer</cp:lastModifiedBy>
  <cp:revision>2</cp:revision>
  <cp:lastPrinted>2015-12-01T18:22:00Z</cp:lastPrinted>
  <dcterms:created xsi:type="dcterms:W3CDTF">2015-12-03T21:19:00Z</dcterms:created>
  <dcterms:modified xsi:type="dcterms:W3CDTF">2015-12-03T21:19:00Z</dcterms:modified>
</cp:coreProperties>
</file>