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676"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AC4FF2"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AC4FF2" w:rsidRDefault="00AC4FF2"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right" w:pos="5933"/>
        </w:tabs>
        <w:suppressAutoHyphens/>
      </w:pPr>
      <w:r>
        <w:tab/>
      </w:r>
      <w:r>
        <w:rPr>
          <w:b/>
          <w:sz w:val="36"/>
        </w:rPr>
        <w:t>H. 4717</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AC0748" w:rsidP="00944B84">
      <w:pPr>
        <w:tabs>
          <w:tab w:val="right" w:pos="5933"/>
        </w:tabs>
        <w:suppressAutoHyphens/>
      </w:pPr>
      <w:r>
        <w:t>S. Printed 4/</w:t>
      </w:r>
      <w:r w:rsidR="00AC4FF2">
        <w:t>28</w:t>
      </w:r>
      <w:r w:rsidR="00094676">
        <w:t>/16--S.</w:t>
      </w:r>
      <w:r w:rsidR="00944B84">
        <w:tab/>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676"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r w:rsidRPr="00A86121">
        <w:rPr>
          <w:u w:color="000000" w:themeColor="text1"/>
        </w:rPr>
        <w:tab/>
      </w: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1"/>
    </w:p>
    <w:p w:rsidR="00A35FF0"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0748"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48"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The State of South Carolina has a significant public interest to prevent the economic collapse of many of the state’s farms which 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SECTION</w:t>
      </w:r>
      <w:r w:rsidRPr="00A86121">
        <w:rPr>
          <w:u w:color="000000" w:themeColor="text1"/>
        </w:rPr>
        <w:tab/>
        <w:t>2.</w:t>
      </w:r>
      <w:r w:rsidRPr="00A86121">
        <w:rPr>
          <w:u w:color="000000" w:themeColor="text1"/>
        </w:rPr>
        <w:tab/>
        <w:t>Chapter 1, Title 46 of the 1976 Code is amended by adding:</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Pr>
          <w:u w:color="000000" w:themeColor="text1"/>
        </w:rPr>
        <w:t>“</w:t>
      </w:r>
      <w:r w:rsidRPr="00A86121">
        <w:rPr>
          <w:u w:color="000000" w:themeColor="text1"/>
        </w:rPr>
        <w:t>Section 46</w:t>
      </w:r>
      <w:r w:rsidRPr="00A86121">
        <w:rPr>
          <w:u w:color="000000" w:themeColor="text1"/>
        </w:rPr>
        <w:noBreakHyphen/>
        <w:t>1</w:t>
      </w:r>
      <w:r w:rsidRPr="00A86121">
        <w:rPr>
          <w:u w:color="000000" w:themeColor="text1"/>
        </w:rPr>
        <w:noBreakHyphen/>
        <w:t>160.</w:t>
      </w:r>
      <w:r w:rsidRPr="00A86121">
        <w:rPr>
          <w:u w:color="000000" w:themeColor="text1"/>
        </w:rPr>
        <w:tab/>
        <w:t>(A)(1)</w:t>
      </w:r>
      <w:r w:rsidRPr="00A86121">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To be eligible for a grant, the person must have:</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experienced a verifiable loss of agricultural commodities of at least forty percent as a result of the catastrophic flooding of October 2015</w:t>
      </w:r>
      <w:r>
        <w:rPr>
          <w:u w:color="000000" w:themeColor="text1"/>
        </w:rPr>
        <w:t>,</w:t>
      </w:r>
      <w:r w:rsidRPr="00A86121">
        <w:rPr>
          <w:u w:color="000000" w:themeColor="text1"/>
        </w:rPr>
        <w:t xml:space="preserve"> for which:</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w:t>
      </w:r>
      <w:r w:rsidRPr="00A86121">
        <w:rPr>
          <w:u w:color="000000" w:themeColor="text1"/>
        </w:rPr>
        <w:tab/>
      </w:r>
      <w:r w:rsidRPr="00A86121">
        <w:rPr>
          <w:u w:color="000000" w:themeColor="text1"/>
        </w:rPr>
        <w:tab/>
        <w:t>the Governor declared a state of emergency in the State;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(ii)</w:t>
      </w:r>
      <w:r w:rsidRPr="00A86121">
        <w:rPr>
          <w:u w:color="000000" w:themeColor="text1"/>
        </w:rPr>
        <w:tab/>
        <w:t>the United States Secretary of Agriculture</w:t>
      </w:r>
      <w:bookmarkStart w:id="5" w:name="temp"/>
      <w:bookmarkEnd w:id="5"/>
      <w:r w:rsidRPr="00A86121">
        <w:rPr>
          <w:u w:color="000000" w:themeColor="text1"/>
        </w:rPr>
        <w:t xml:space="preserve"> issued a Secretarial Disaster Declaration for the county in which the farm is located;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a farm number issued by the Farm Service Agency;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signed an affidavit, under penalty of perjury, certifying that each fact of the loss presented by the person is accurate. </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(B)(1)</w:t>
      </w:r>
      <w:r>
        <w:rPr>
          <w:snapToGrid w:val="0"/>
        </w:rPr>
        <w:tab/>
      </w:r>
      <w:r w:rsidRPr="00CC06D3">
        <w:rPr>
          <w:snapToGrid w:val="0"/>
        </w:rPr>
        <w:t xml:space="preserve">The Department of Agriculture shall administer the </w:t>
      </w:r>
      <w:r>
        <w:rPr>
          <w:snapToGrid w:val="0"/>
        </w:rPr>
        <w:t xml:space="preserve">grant </w:t>
      </w:r>
      <w:r w:rsidRPr="00CC06D3">
        <w:rPr>
          <w:snapToGrid w:val="0"/>
        </w:rPr>
        <w:t>program authorized by this section.</w:t>
      </w:r>
      <w:r>
        <w:rPr>
          <w:snapToGrid w:val="0"/>
        </w:rPr>
        <w:t xml:space="preserve">  The Department of Revenue shall assist the Department of Agriculture in the administration of the grant program by providing auditing services, accounting services, and review and oversight of all financial aspects of the grant program. </w:t>
      </w:r>
      <w:r w:rsidRPr="00CC06D3">
        <w:rPr>
          <w:snapToGrid w:val="0"/>
        </w:rPr>
        <w:t xml:space="preserve">There is created the Farm Aid Advisory Board to make recommendations to the department regarding the duties of the department in administering the </w:t>
      </w:r>
      <w:r>
        <w:rPr>
          <w:snapToGrid w:val="0"/>
        </w:rPr>
        <w:t>grant</w:t>
      </w:r>
      <w:r w:rsidRPr="00CC06D3">
        <w:rPr>
          <w:snapToGrid w:val="0"/>
        </w:rPr>
        <w:t xml:space="preserve"> program.  The Commissioner of Agriculture, or his designee, shall serve ex officio, as chairman of the board.  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following additional members </w:t>
      </w:r>
      <w:r>
        <w:rPr>
          <w:snapToGrid w:val="0"/>
        </w:rPr>
        <w:t xml:space="preserve">shall be appointed </w:t>
      </w:r>
      <w:r w:rsidRPr="00CC06D3">
        <w:rPr>
          <w:snapToGrid w:val="0"/>
        </w:rPr>
        <w:t>to the board:</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tab/>
      </w:r>
      <w:r w:rsidRPr="00CC06D3">
        <w:rPr>
          <w:snapToGrid w:val="0"/>
        </w:rPr>
        <w:tab/>
      </w:r>
      <w:r w:rsidRPr="00CC06D3">
        <w:rPr>
          <w:snapToGrid w:val="0"/>
        </w:rPr>
        <w:tab/>
        <w:t>(a)</w:t>
      </w:r>
      <w:r w:rsidRPr="00CC06D3">
        <w:rPr>
          <w:snapToGrid w:val="0"/>
        </w:rPr>
        <w:tab/>
      </w:r>
      <w:r>
        <w:rPr>
          <w:snapToGrid w:val="0"/>
        </w:rPr>
        <w:t>the Commissioner of Agriculture shall appoint one member representing South Carolina Farm Bureau;</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tab/>
      </w:r>
      <w:r w:rsidRPr="00CC06D3">
        <w:rPr>
          <w:snapToGrid w:val="0"/>
        </w:rPr>
        <w:tab/>
      </w:r>
      <w:r w:rsidRPr="00CC06D3">
        <w:rPr>
          <w:snapToGrid w:val="0"/>
        </w:rPr>
        <w:tab/>
        <w:t>(b)</w:t>
      </w:r>
      <w:r w:rsidRPr="00CC06D3">
        <w:rPr>
          <w:snapToGrid w:val="0"/>
        </w:rPr>
        <w:tab/>
      </w:r>
      <w:r>
        <w:rPr>
          <w:snapToGrid w:val="0"/>
        </w:rPr>
        <w:t>the Commissioner of Agriculture shall appoint one member representing a farm credit association;</w:t>
      </w:r>
    </w:p>
    <w:p w:rsidR="00AE1D70" w:rsidRPr="00CC06D3"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C06D3">
        <w:rPr>
          <w:snapToGrid w:val="0"/>
        </w:rPr>
        <w:tab/>
      </w:r>
      <w:r w:rsidRPr="00CC06D3">
        <w:rPr>
          <w:snapToGrid w:val="0"/>
        </w:rPr>
        <w:tab/>
      </w:r>
      <w:r w:rsidRPr="00CC06D3">
        <w:rPr>
          <w:snapToGrid w:val="0"/>
        </w:rPr>
        <w:tab/>
        <w:t>(c)</w:t>
      </w:r>
      <w:r w:rsidRPr="00CC06D3">
        <w:rPr>
          <w:snapToGrid w:val="0"/>
        </w:rPr>
        <w:tab/>
      </w:r>
      <w:r>
        <w:rPr>
          <w:snapToGrid w:val="0"/>
        </w:rPr>
        <w:t>the Director of the Department of Revenue shall appoint one member representing the crop insurance industry; and</w:t>
      </w:r>
    </w:p>
    <w:p w:rsidR="00A76C39" w:rsidRDefault="00AE1D70"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06D3">
        <w:rPr>
          <w:snapToGrid w:val="0"/>
        </w:rPr>
        <w:tab/>
      </w:r>
      <w:r w:rsidRPr="00CC06D3">
        <w:rPr>
          <w:snapToGrid w:val="0"/>
        </w:rPr>
        <w:tab/>
      </w:r>
      <w:r w:rsidRPr="00CC06D3">
        <w:rPr>
          <w:snapToGrid w:val="0"/>
        </w:rPr>
        <w:tab/>
        <w:t>(d)</w:t>
      </w:r>
      <w:r w:rsidRPr="00CC06D3">
        <w:rPr>
          <w:snapToGrid w:val="0"/>
        </w:rPr>
        <w:tab/>
      </w:r>
      <w:r>
        <w:rPr>
          <w:snapToGrid w:val="0"/>
        </w:rPr>
        <w:t>the Director of the Department of Revenue shall appoint one member who is an agricultural commodities producer.</w:t>
      </w:r>
    </w:p>
    <w:p w:rsidR="00AC0748" w:rsidRPr="00A86121" w:rsidRDefault="00AC0748" w:rsidP="00AE1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Within twenty days of the effective date of this section, the board shall hold its initial meeting to recommend an application process by which a person with a loss resulting from the flooding in October 2015, may apply for a grant.  Upon adoption of an application process, the Department of</w:t>
      </w:r>
      <w:r>
        <w:rPr>
          <w:u w:color="000000" w:themeColor="text1"/>
        </w:rPr>
        <w:t xml:space="preserve"> Agriculture shall provide the Chairme</w:t>
      </w:r>
      <w:r w:rsidRPr="00A86121">
        <w:rPr>
          <w:u w:color="000000" w:themeColor="text1"/>
        </w:rPr>
        <w:t>n of the House Ways and Means Committee and the Senate Finance Committee with a written copy of its application process within ten days after its adoption.  A person shall apply not later than forty</w:t>
      </w:r>
      <w:r w:rsidRPr="00A86121">
        <w:rPr>
          <w:u w:color="000000" w:themeColor="text1"/>
        </w:rPr>
        <w:noBreakHyphen/>
        <w:t>five days after the adoption of the application process.  The department must ensure every person interested in applying for a grant has access to adequate resources to submit his application in a timely manner, and upon request, the department must assist a person with the preparation of his application.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(3)(a)</w:t>
      </w:r>
      <w:r w:rsidRPr="00A86121">
        <w:rPr>
          <w:u w:color="000000" w:themeColor="text1"/>
        </w:rPr>
        <w:tab/>
        <w:t>Each grant awarded by the department may not exceed twenty percent of the person’s verifiable loss of agricultural commodities.  However, a person, including any grant made to a related person, may not receive grants aggregating more than one hundred thousand.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If the total amount of grants allowed pursuant to subitem (a) exceeds the monies in the fund, then each person’s grant must be reduced proportionately.</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(4)</w:t>
      </w:r>
      <w:r w:rsidRPr="00A86121">
        <w:rPr>
          <w:u w:color="000000" w:themeColor="text1"/>
        </w:rPr>
        <w:tab/>
        <w:t>To determine loss, the department: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must measure the person’s cumulative total loss of all affected agricultural commodities for 2015 against the person’s expected production of all agricultural commodities affected by the flood in 2015;</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A86121">
        <w:rPr>
          <w:u w:color="000000" w:themeColor="text1"/>
        </w:rPr>
        <w:noBreakHyphen/>
        <w:t>pick records, and insurance documents.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(C)</w:t>
      </w:r>
      <w:r w:rsidRPr="00A86121">
        <w:rPr>
          <w:u w:color="000000" w:themeColor="text1"/>
        </w:rPr>
        <w:tab/>
        <w:t>Grant awards must be used for agricultural production expenses and losses due to the flood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CC06D3">
        <w:rPr>
          <w:snapToGrid w:val="0"/>
        </w:rPr>
        <w:t>(D)</w:t>
      </w:r>
      <w:r>
        <w:rPr>
          <w:snapToGrid w:val="0"/>
        </w:rPr>
        <w:t>(1)</w:t>
      </w:r>
      <w:r w:rsidRPr="00CC06D3">
        <w:rPr>
          <w:snapToGrid w:val="0"/>
        </w:rPr>
        <w:tab/>
        <w:t xml:space="preserve">If the department determines that a person who received a </w:t>
      </w:r>
      <w:r>
        <w:rPr>
          <w:snapToGrid w:val="0"/>
        </w:rPr>
        <w:t>grant</w:t>
      </w:r>
      <w:r w:rsidRPr="00CC06D3">
        <w:rPr>
          <w:snapToGrid w:val="0"/>
        </w:rPr>
        <w:t xml:space="preserve"> provided inaccurate information, then the person shall refund the entire amount of the </w:t>
      </w:r>
      <w:r>
        <w:rPr>
          <w:snapToGrid w:val="0"/>
        </w:rPr>
        <w:t>grant</w:t>
      </w:r>
      <w:r w:rsidRPr="00CC06D3">
        <w:rPr>
          <w:snapToGrid w:val="0"/>
        </w:rPr>
        <w:t xml:space="preserve">.  If the department determines that a person who received a </w:t>
      </w:r>
      <w:r>
        <w:rPr>
          <w:snapToGrid w:val="0"/>
        </w:rPr>
        <w:t>grant</w:t>
      </w:r>
      <w:r w:rsidRPr="00CC06D3">
        <w:rPr>
          <w:snapToGrid w:val="0"/>
        </w:rPr>
        <w:t xml:space="preserve"> used the funds for ineligible expenses, then the person must refund the amount of the ineligible expenses.  If the person does not refund the appropriate amount</w:t>
      </w:r>
      <w:r>
        <w:rPr>
          <w:snapToGrid w:val="0"/>
        </w:rPr>
        <w:t>,</w:t>
      </w:r>
      <w:r w:rsidRPr="00CC06D3">
        <w:rPr>
          <w:snapToGrid w:val="0"/>
        </w:rPr>
        <w:t xml:space="preserve"> the Department of Revenue shall utilize the provisions of the Setoff Debt Collection Act to collect the money from the person.</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department determines that a person knowingly provided false information to obtain a grant pursuant to this section or knowingly used funds for ineligible expenses the person shall be subject to prosecution pursuant to Section 16</w:t>
      </w:r>
      <w:r>
        <w:rPr>
          <w:snapToGrid w:val="0"/>
        </w:rPr>
        <w:noBreakHyphen/>
        <w:t>13</w:t>
      </w:r>
      <w:r>
        <w:rPr>
          <w:snapToGrid w:val="0"/>
        </w:rPr>
        <w:noBreakHyphen/>
        <w:t>240.</w:t>
      </w:r>
      <w:r>
        <w:rPr>
          <w:snapToGrid w:val="0"/>
        </w:rPr>
        <w:tab/>
      </w:r>
    </w:p>
    <w:p w:rsidR="00A76C39" w:rsidRPr="00CC06D3"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(E)(1)</w:t>
      </w:r>
      <w:r>
        <w:rPr>
          <w:snapToGrid w:val="0"/>
        </w:rPr>
        <w:tab/>
        <w:t>From the 2014</w:t>
      </w:r>
      <w:r>
        <w:rPr>
          <w:snapToGrid w:val="0"/>
        </w:rPr>
        <w:noBreakHyphen/>
      </w:r>
      <w:r w:rsidRPr="00CC06D3">
        <w:rPr>
          <w:snapToGrid w:val="0"/>
        </w:rPr>
        <w:t>2015 Contingency Reserve Fund, there is appropriated $40,000,000 to the</w:t>
      </w:r>
      <w:r>
        <w:rPr>
          <w:snapToGrid w:val="0"/>
        </w:rPr>
        <w:t xml:space="preserve"> South Carolina Farm Aid Fund.</w:t>
      </w:r>
    </w:p>
    <w:p w:rsidR="00A76C39" w:rsidRDefault="00A76C39"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CC06D3">
        <w:rPr>
          <w:snapToGrid w:val="0"/>
        </w:rPr>
        <w:t>(</w:t>
      </w:r>
      <w:r>
        <w:rPr>
          <w:snapToGrid w:val="0"/>
        </w:rPr>
        <w:t>2</w:t>
      </w:r>
      <w:r w:rsidRPr="00CC06D3">
        <w:rPr>
          <w:snapToGrid w:val="0"/>
        </w:rPr>
        <w:t>)</w:t>
      </w:r>
      <w:r w:rsidRPr="00CC06D3">
        <w:rPr>
          <w:snapToGrid w:val="0"/>
        </w:rPr>
        <w:tab/>
      </w:r>
      <w:r>
        <w:rPr>
          <w:snapToGrid w:val="0"/>
        </w:rPr>
        <w:t xml:space="preserve">Within forty-five days of </w:t>
      </w:r>
      <w:r w:rsidRPr="00CC06D3">
        <w:rPr>
          <w:snapToGrid w:val="0"/>
        </w:rPr>
        <w:t xml:space="preserve">the completion of the awarding of </w:t>
      </w:r>
      <w:r>
        <w:rPr>
          <w:snapToGrid w:val="0"/>
        </w:rPr>
        <w:t>grants</w:t>
      </w:r>
      <w:r w:rsidRPr="00CC06D3">
        <w:rPr>
          <w:snapToGrid w:val="0"/>
        </w:rPr>
        <w:t>, but no later than Ju</w:t>
      </w:r>
      <w:r>
        <w:rPr>
          <w:snapToGrid w:val="0"/>
        </w:rPr>
        <w:t>ne 30</w:t>
      </w:r>
      <w:r w:rsidRPr="00CC06D3">
        <w:rPr>
          <w:snapToGrid w:val="0"/>
        </w:rPr>
        <w:t>, 201</w:t>
      </w:r>
      <w:r>
        <w:rPr>
          <w:snapToGrid w:val="0"/>
        </w:rPr>
        <w:t>7</w:t>
      </w:r>
      <w:r w:rsidRPr="00CC06D3">
        <w:rPr>
          <w:snapToGrid w:val="0"/>
        </w:rPr>
        <w:t>, the Farm Aid Advisory Board is dissolved</w:t>
      </w:r>
      <w:r>
        <w:rPr>
          <w:snapToGrid w:val="0"/>
        </w:rPr>
        <w:t>.</w:t>
      </w:r>
      <w:r w:rsidRPr="00CC06D3">
        <w:rPr>
          <w:snapToGrid w:val="0"/>
        </w:rPr>
        <w:t xml:space="preserve">  Any funds remaining in the fund upon dissolution shall lapse to the general fund.</w:t>
      </w:r>
    </w:p>
    <w:p w:rsidR="00AC0748" w:rsidRPr="00A86121" w:rsidRDefault="00AC0748" w:rsidP="00A76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(F)</w:t>
      </w:r>
      <w:r w:rsidRPr="00A86121">
        <w:rPr>
          <w:u w:color="000000" w:themeColor="text1"/>
        </w:rPr>
        <w:tab/>
        <w:t>The department may accept private funds, grants, and property to be used to make financial awards from the grant program.</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(G)</w:t>
      </w:r>
      <w:r w:rsidRPr="00A86121">
        <w:rPr>
          <w:u w:color="000000" w:themeColor="text1"/>
        </w:rPr>
        <w:tab/>
        <w:t>The Department of Agriculture must administer the grant program authorized by this section using existing resources and funds.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(H)</w:t>
      </w:r>
      <w:r w:rsidRPr="00A86121">
        <w:rPr>
          <w:u w:color="000000" w:themeColor="text1"/>
        </w:rPr>
        <w:tab/>
        <w:t>For purposes of this section: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(1)</w:t>
      </w:r>
      <w:r w:rsidRPr="00A86121">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‘Person’ means any individual, trust, estate, partnership, receiver, association, company, limited liability company, corporation, or other entity or group.</w:t>
      </w:r>
    </w:p>
    <w:p w:rsidR="00A35FF0" w:rsidRPr="008C2832"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w:t>
      </w:r>
      <w:r w:rsidRPr="00A86121">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C17" w:rsidRDefault="00F51C17" w:rsidP="00F51C17">
      <w:pPr>
        <w:suppressAutoHyphens/>
      </w:pPr>
    </w:p>
    <w:sectPr w:rsidR="00F51C17"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D70" w:rsidRDefault="00AE1D70" w:rsidP="009F0C77">
      <w:r>
        <w:separator/>
      </w:r>
    </w:p>
  </w:endnote>
  <w:endnote w:type="continuationSeparator" w:id="0">
    <w:p w:rsidR="00AE1D70" w:rsidRDefault="00AE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ECD30B-6292-4909-B355-11348FF6EE35}"/>
    <w:embedBold r:id="rId2" w:fontKey="{E12D58D1-C452-48A6-867F-D44AE2A7A0B2}"/>
  </w:font>
  <w:font w:name="Calibri">
    <w:panose1 w:val="020F0502020204030204"/>
    <w:charset w:val="00"/>
    <w:family w:val="swiss"/>
    <w:pitch w:val="variable"/>
    <w:sig w:usb0="E00002FF" w:usb1="4000ACFF" w:usb2="00000001" w:usb3="00000000" w:csb0="0000019F" w:csb1="00000000"/>
    <w:embedRegular r:id="rId3" w:fontKey="{09411C87-64D2-4A60-A50E-132473C36F73}"/>
  </w:font>
  <w:font w:name="Cambria">
    <w:panose1 w:val="02040503050406030204"/>
    <w:charset w:val="00"/>
    <w:family w:val="roman"/>
    <w:pitch w:val="variable"/>
    <w:sig w:usb0="E00002FF" w:usb1="400004FF" w:usb2="00000000" w:usb3="00000000" w:csb0="0000019F" w:csb1="00000000"/>
    <w:embedRegular r:id="rId4" w:fontKey="{1974754D-8430-4C06-B735-12466A0472FF}"/>
  </w:font>
  <w:font w:name="Segoe UI">
    <w:panose1 w:val="020B0502040204020203"/>
    <w:charset w:val="00"/>
    <w:family w:val="swiss"/>
    <w:pitch w:val="variable"/>
    <w:sig w:usb0="E10022FF" w:usb1="C000E47F" w:usb2="00000029" w:usb3="00000000" w:csb0="000001DF" w:csb1="00000000"/>
    <w:embedRegular r:id="rId5" w:fontKey="{667A2AF0-B27A-4BDA-AB85-DEF09AE15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70" w:rsidRPr="007226BA" w:rsidRDefault="00AE1D70" w:rsidP="007226BA">
    <w:pPr>
      <w:pStyle w:val="Footer"/>
      <w:tabs>
        <w:tab w:val="clear" w:pos="4680"/>
        <w:tab w:val="clear" w:pos="9360"/>
        <w:tab w:val="center" w:pos="2995"/>
      </w:tabs>
      <w:spacing w:before="120"/>
    </w:pPr>
    <w:r>
      <w:t>[4717-</w:t>
    </w:r>
    <w:r>
      <w:fldChar w:fldCharType="begin"/>
    </w:r>
    <w:r>
      <w:instrText xml:space="preserve"> PAGE  \* MERGEFORMAT </w:instrText>
    </w:r>
    <w:r>
      <w:fldChar w:fldCharType="separate"/>
    </w:r>
    <w:r w:rsidR="00F51C1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D70" w:rsidRPr="007226BA" w:rsidRDefault="00AE1D70"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F51C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D70" w:rsidRDefault="00AE1D70" w:rsidP="009F0C77">
      <w:r>
        <w:separator/>
      </w:r>
    </w:p>
  </w:footnote>
  <w:footnote w:type="continuationSeparator" w:id="0">
    <w:p w:rsidR="00AE1D70" w:rsidRDefault="00AE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94676"/>
    <w:rsid w:val="000D32EF"/>
    <w:rsid w:val="000E1785"/>
    <w:rsid w:val="000E4BFD"/>
    <w:rsid w:val="000E5F4B"/>
    <w:rsid w:val="000F40FA"/>
    <w:rsid w:val="0010776B"/>
    <w:rsid w:val="00133E66"/>
    <w:rsid w:val="001435A3"/>
    <w:rsid w:val="00146ED3"/>
    <w:rsid w:val="00151044"/>
    <w:rsid w:val="0017117A"/>
    <w:rsid w:val="001D08F2"/>
    <w:rsid w:val="001D525B"/>
    <w:rsid w:val="001D7F4F"/>
    <w:rsid w:val="001F7767"/>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26C78"/>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23FC5"/>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44B84"/>
    <w:rsid w:val="009B44AF"/>
    <w:rsid w:val="009C6A0B"/>
    <w:rsid w:val="009F0C77"/>
    <w:rsid w:val="009F4DD1"/>
    <w:rsid w:val="00A35FF0"/>
    <w:rsid w:val="00A41684"/>
    <w:rsid w:val="00A64E80"/>
    <w:rsid w:val="00A72BCD"/>
    <w:rsid w:val="00A741D9"/>
    <w:rsid w:val="00A76C39"/>
    <w:rsid w:val="00A833AB"/>
    <w:rsid w:val="00A9741D"/>
    <w:rsid w:val="00AB6CDC"/>
    <w:rsid w:val="00AC0748"/>
    <w:rsid w:val="00AC4FF2"/>
    <w:rsid w:val="00AD4B17"/>
    <w:rsid w:val="00AE1D70"/>
    <w:rsid w:val="00AE3E3E"/>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41911"/>
    <w:rsid w:val="00E92EEF"/>
    <w:rsid w:val="00EA665B"/>
    <w:rsid w:val="00EF2368"/>
    <w:rsid w:val="00F24442"/>
    <w:rsid w:val="00F50AE3"/>
    <w:rsid w:val="00F51C17"/>
    <w:rsid w:val="00F656BA"/>
    <w:rsid w:val="00F67CF1"/>
    <w:rsid w:val="00F840F0"/>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A3D39-AE4D-4A31-B573-2F06B53C0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FDDA550.dotm</Template>
  <TotalTime>0</TotalTime>
  <Pages>6</Pages>
  <Words>1758</Words>
  <Characters>9523</Characters>
  <Application>Microsoft Office Word</Application>
  <DocSecurity>0</DocSecurity>
  <Lines>223</Lines>
  <Paragraphs>49</Paragraphs>
  <ScaleCrop>false</ScaleCrop>
  <HeadingPairs>
    <vt:vector size="2" baseType="variant">
      <vt:variant>
        <vt:lpstr>Title</vt:lpstr>
      </vt:variant>
      <vt:variant>
        <vt:i4>1</vt:i4>
      </vt:variant>
    </vt:vector>
  </HeadingPairs>
  <TitlesOfParts>
    <vt:vector size="1" baseType="lpstr">
      <vt:lpstr>2015-2016 Bill 4717: Subject not yet available - South Carolina Legislature Online</vt:lpstr>
    </vt:vector>
  </TitlesOfParts>
  <Company>LPITS</Company>
  <LinksUpToDate>false</LinksUpToDate>
  <CharactersWithSpaces>11339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(Apr. 28, 2016) - South Carolina Legislature Online</dc:title>
  <dc:creator>BRENDA MELTON</dc:creator>
  <cp:lastModifiedBy>Brent Walling</cp:lastModifiedBy>
  <cp:revision>2</cp:revision>
  <cp:lastPrinted>2016-04-28T18:09:00Z</cp:lastPrinted>
  <dcterms:created xsi:type="dcterms:W3CDTF">2016-04-28T18:11:00Z</dcterms:created>
  <dcterms:modified xsi:type="dcterms:W3CDTF">2016-04-28T18:11:00Z</dcterms:modified>
</cp:coreProperties>
</file>