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F05" w:rsidRDefault="00AF4F05"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6E" w:rsidRDefault="00B62D6E" w:rsidP="00B6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1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155"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C3B">
        <w:rPr>
          <w:color w:val="000000" w:themeColor="text1"/>
          <w:u w:color="000000" w:themeColor="text1"/>
        </w:rPr>
        <w:t>TO AMEND SECTIONS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sidRPr="00EE1C3B">
        <w:rPr>
          <w:color w:val="000000" w:themeColor="text1"/>
          <w:u w:color="000000" w:themeColor="text1"/>
        </w:rPr>
        <w:t>6410 AND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sidRPr="00EE1C3B">
        <w:rPr>
          <w:color w:val="000000" w:themeColor="text1"/>
          <w:u w:color="000000" w:themeColor="text1"/>
        </w:rPr>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t>
      </w:r>
      <w:r>
        <w:rPr>
          <w:color w:val="000000" w:themeColor="text1"/>
          <w:u w:color="000000" w:themeColor="text1"/>
        </w:rPr>
        <w:t>HIRTEEN</w:t>
      </w:r>
      <w:r w:rsidRPr="00EE1C3B">
        <w:rPr>
          <w:color w:val="000000" w:themeColor="text1"/>
          <w:u w:color="000000" w:themeColor="text1"/>
        </w:rPr>
        <w:t xml:space="preserve"> YEARS OLD INSTEAD OF </w:t>
      </w:r>
      <w:r>
        <w:rPr>
          <w:color w:val="000000" w:themeColor="text1"/>
          <w:u w:color="000000" w:themeColor="text1"/>
        </w:rPr>
        <w:t>SIX</w:t>
      </w:r>
      <w:r w:rsidRPr="00EE1C3B">
        <w:rPr>
          <w:color w:val="000000" w:themeColor="text1"/>
          <w:u w:color="000000" w:themeColor="text1"/>
        </w:rPr>
        <w:t xml:space="preserve"> YEARS OLD,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crashes remain the leading cause of death for children ages one to nineteen; and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South Carolina</w:t>
      </w:r>
      <w:r w:rsidR="00F81C1A" w:rsidRPr="00F81C1A">
        <w:rPr>
          <w:color w:val="000000" w:themeColor="text1"/>
          <w:u w:color="000000" w:themeColor="text1"/>
        </w:rPr>
        <w:t>’</w:t>
      </w:r>
      <w:r w:rsidRPr="00EE1C3B">
        <w:rPr>
          <w:color w:val="000000" w:themeColor="text1"/>
          <w:u w:color="000000" w:themeColor="text1"/>
        </w:rPr>
        <w:t>s motor vehicle death rate per 100,000 is 19.7 as compared to a national average of 11.7; and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traffic accidents account for forty</w:t>
      </w:r>
      <w:r w:rsidR="00F81C1A">
        <w:rPr>
          <w:color w:val="000000" w:themeColor="text1"/>
          <w:u w:color="000000" w:themeColor="text1"/>
        </w:rPr>
        <w:noBreakHyphen/>
      </w:r>
      <w:r w:rsidRPr="00EE1C3B">
        <w:rPr>
          <w:color w:val="000000" w:themeColor="text1"/>
          <w:u w:color="000000" w:themeColor="text1"/>
        </w:rPr>
        <w:t xml:space="preserve">nine percent of all unintentional deaths to children ages five to nine; and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total crash</w:t>
      </w:r>
      <w:r w:rsidR="00F81C1A">
        <w:rPr>
          <w:color w:val="000000" w:themeColor="text1"/>
          <w:u w:color="000000" w:themeColor="text1"/>
        </w:rPr>
        <w:noBreakHyphen/>
      </w:r>
      <w:r w:rsidRPr="00EE1C3B">
        <w:rPr>
          <w:color w:val="000000" w:themeColor="text1"/>
          <w:u w:color="000000" w:themeColor="text1"/>
        </w:rPr>
        <w:t>related death costs in South Carolina for people less than twenty years old equals at least two hundred million dollars annually; and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a child riding unrestrained in a motor vehicle is the greatest risk factor for death and injury among child occupants; and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more than half of children who die in motor vehicle crashes are not secured in any type of restraint; and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E1C3B">
        <w:rPr>
          <w:color w:val="000000" w:themeColor="text1"/>
          <w:u w:color="000000" w:themeColor="text1"/>
        </w:rPr>
        <w:lastRenderedPageBreak/>
        <w:t>Whereas, the proper use of age</w:t>
      </w:r>
      <w:r w:rsidR="00F81C1A">
        <w:rPr>
          <w:color w:val="000000" w:themeColor="text1"/>
          <w:u w:color="000000" w:themeColor="text1"/>
        </w:rPr>
        <w:noBreakHyphen/>
      </w:r>
      <w:r w:rsidRPr="00EE1C3B">
        <w:rPr>
          <w:color w:val="000000" w:themeColor="text1"/>
          <w:u w:color="000000" w:themeColor="text1"/>
        </w:rPr>
        <w:t xml:space="preserve"> and size</w:t>
      </w:r>
      <w:r w:rsidR="00F81C1A">
        <w:rPr>
          <w:color w:val="000000" w:themeColor="text1"/>
          <w:u w:color="000000" w:themeColor="text1"/>
        </w:rPr>
        <w:noBreakHyphen/>
      </w:r>
      <w:r w:rsidRPr="00EE1C3B">
        <w:rPr>
          <w:color w:val="000000" w:themeColor="text1"/>
          <w:u w:color="000000" w:themeColor="text1"/>
        </w:rPr>
        <w:t>appropriate child restraint systems is the most effective way to minimize injuries and fatalities to children.  Now, therefore,</w:t>
      </w:r>
    </w:p>
    <w:p w:rsidR="00693FE8" w:rsidRDefault="00693FE8"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155" w:rsidRPr="00EE1C3B" w:rsidRDefault="00C10179"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4155" w:rsidRPr="00EE1C3B">
        <w:rPr>
          <w:color w:val="000000" w:themeColor="text1"/>
          <w:u w:color="000000" w:themeColor="text1"/>
        </w:rPr>
        <w:t>Sections 56</w:t>
      </w:r>
      <w:r w:rsidR="00F81C1A">
        <w:rPr>
          <w:color w:val="000000" w:themeColor="text1"/>
          <w:u w:color="000000" w:themeColor="text1"/>
        </w:rPr>
        <w:noBreakHyphen/>
      </w:r>
      <w:r w:rsidR="00394155" w:rsidRPr="00EE1C3B">
        <w:rPr>
          <w:color w:val="000000" w:themeColor="text1"/>
          <w:u w:color="000000" w:themeColor="text1"/>
        </w:rPr>
        <w:t>5</w:t>
      </w:r>
      <w:r w:rsidR="00F81C1A">
        <w:rPr>
          <w:color w:val="000000" w:themeColor="text1"/>
          <w:u w:color="000000" w:themeColor="text1"/>
        </w:rPr>
        <w:noBreakHyphen/>
      </w:r>
      <w:r w:rsidR="00394155" w:rsidRPr="00EE1C3B">
        <w:rPr>
          <w:color w:val="000000" w:themeColor="text1"/>
          <w:u w:color="000000" w:themeColor="text1"/>
        </w:rPr>
        <w:t>6410 and 56</w:t>
      </w:r>
      <w:r w:rsidR="00F81C1A">
        <w:rPr>
          <w:color w:val="000000" w:themeColor="text1"/>
          <w:u w:color="000000" w:themeColor="text1"/>
        </w:rPr>
        <w:noBreakHyphen/>
      </w:r>
      <w:r w:rsidR="00394155" w:rsidRPr="00EE1C3B">
        <w:rPr>
          <w:color w:val="000000" w:themeColor="text1"/>
          <w:u w:color="000000" w:themeColor="text1"/>
        </w:rPr>
        <w:t>5</w:t>
      </w:r>
      <w:r w:rsidR="00F81C1A">
        <w:rPr>
          <w:color w:val="000000" w:themeColor="text1"/>
          <w:u w:color="000000" w:themeColor="text1"/>
        </w:rPr>
        <w:noBreakHyphen/>
      </w:r>
      <w:r w:rsidR="00394155" w:rsidRPr="00EE1C3B">
        <w:rPr>
          <w:color w:val="000000" w:themeColor="text1"/>
          <w:u w:color="000000" w:themeColor="text1"/>
        </w:rPr>
        <w:t>6420 of the 1976 Code are amended to read:</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C3B">
        <w:rPr>
          <w:color w:val="000000" w:themeColor="text1"/>
          <w:u w:color="000000" w:themeColor="text1"/>
        </w:rPr>
        <w:t>“Section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Pr>
          <w:color w:val="000000" w:themeColor="text1"/>
          <w:u w:color="000000" w:themeColor="text1"/>
        </w:rPr>
        <w:t>6410.</w:t>
      </w:r>
      <w:r w:rsidRPr="00EE1C3B">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EE1C3B">
        <w:rPr>
          <w:strike/>
          <w:color w:val="000000" w:themeColor="text1"/>
          <w:u w:color="000000" w:themeColor="text1"/>
        </w:rPr>
        <w:t>five</w:t>
      </w:r>
      <w:r w:rsidRPr="00EE1C3B">
        <w:rPr>
          <w:color w:val="000000" w:themeColor="text1"/>
          <w:u w:color="000000" w:themeColor="text1"/>
        </w:rPr>
        <w:t xml:space="preserve"> </w:t>
      </w:r>
      <w:r w:rsidRPr="00EE1C3B">
        <w:rPr>
          <w:color w:val="000000" w:themeColor="text1"/>
          <w:u w:val="single" w:color="000000" w:themeColor="text1"/>
        </w:rPr>
        <w:t>seven</w:t>
      </w:r>
      <w:r w:rsidRPr="00EE1C3B">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(1)</w:t>
      </w:r>
      <w:r w:rsidRPr="00EE1C3B">
        <w:rPr>
          <w:color w:val="000000" w:themeColor="text1"/>
          <w:u w:color="000000" w:themeColor="text1"/>
        </w:rPr>
        <w:tab/>
        <w:t xml:space="preserve">A child from birth up to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two years</w:t>
      </w:r>
      <w:r w:rsidRPr="00EE1C3B">
        <w:rPr>
          <w:color w:val="000000" w:themeColor="text1"/>
          <w:u w:color="000000" w:themeColor="text1"/>
        </w:rPr>
        <w:t xml:space="preserve"> of age </w:t>
      </w:r>
      <w:r w:rsidRPr="00EE1C3B">
        <w:rPr>
          <w:strike/>
          <w:color w:val="000000" w:themeColor="text1"/>
          <w:u w:color="000000" w:themeColor="text1"/>
        </w:rPr>
        <w:t>or who weighs less than twenty pounds</w:t>
      </w:r>
      <w:r w:rsidRPr="00EE1C3B">
        <w:rPr>
          <w:color w:val="000000" w:themeColor="text1"/>
          <w:u w:color="000000" w:themeColor="text1"/>
        </w:rPr>
        <w:t xml:space="preserve"> must be properly secured in a rear</w:t>
      </w:r>
      <w:r w:rsidR="00F81C1A">
        <w:rPr>
          <w:color w:val="000000" w:themeColor="text1"/>
          <w:u w:color="000000" w:themeColor="text1"/>
        </w:rPr>
        <w:noBreakHyphen/>
      </w:r>
      <w:r w:rsidRPr="00EE1C3B">
        <w:rPr>
          <w:color w:val="000000" w:themeColor="text1"/>
          <w:u w:color="000000" w:themeColor="text1"/>
        </w:rPr>
        <w:t>facing child safety seat which meets the standards prescribed by the National Highway Traffic Safety Administration</w:t>
      </w:r>
      <w:r>
        <w:rPr>
          <w:color w:val="000000" w:themeColor="text1"/>
          <w:u w:color="000000" w:themeColor="text1"/>
        </w:rPr>
        <w:t xml:space="preserve"> </w:t>
      </w:r>
      <w:r w:rsidRPr="00EE1C3B">
        <w:rPr>
          <w:color w:val="000000" w:themeColor="text1"/>
          <w:u w:val="single" w:color="000000" w:themeColor="text1"/>
        </w:rPr>
        <w:t>until the child</w:t>
      </w:r>
      <w:r w:rsidR="00F81C1A" w:rsidRPr="00F81C1A">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rear</w:t>
      </w:r>
      <w:r w:rsidR="00F81C1A">
        <w:rPr>
          <w:color w:val="000000" w:themeColor="text1"/>
          <w:u w:val="single" w:color="000000" w:themeColor="text1"/>
        </w:rPr>
        <w:noBreakHyphen/>
      </w:r>
      <w:r w:rsidRPr="00EE1C3B">
        <w:rPr>
          <w:color w:val="000000" w:themeColor="text1"/>
          <w:u w:val="single" w:color="000000" w:themeColor="text1"/>
        </w:rPr>
        <w:t>facing child passenger safety seat, whichever occurs first</w:t>
      </w:r>
      <w:r w:rsidRPr="00EE1C3B">
        <w:rPr>
          <w:color w:val="000000" w:themeColor="text1"/>
          <w:u w:color="000000" w:themeColor="text1"/>
        </w:rPr>
        <w:t xml:space="preserv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(2)</w:t>
      </w:r>
      <w:r w:rsidRPr="00EE1C3B">
        <w:rPr>
          <w:color w:val="000000" w:themeColor="text1"/>
          <w:u w:color="000000" w:themeColor="text1"/>
        </w:rPr>
        <w:tab/>
        <w:t xml:space="preserve">A child who is at least one year of age but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of age </w:t>
      </w:r>
      <w:r w:rsidRPr="00EE1C3B">
        <w:rPr>
          <w:strike/>
          <w:color w:val="000000" w:themeColor="text1"/>
          <w:u w:color="000000" w:themeColor="text1"/>
        </w:rPr>
        <w:t>and who weighs at least twenty pounds but less than forty pounds</w:t>
      </w:r>
      <w:r w:rsidRPr="00EE1C3B">
        <w:rPr>
          <w:color w:val="000000" w:themeColor="text1"/>
          <w:u w:val="single" w:color="000000" w:themeColor="text1"/>
        </w:rPr>
        <w:t>, that exceeds the limits set forth in item (1),</w:t>
      </w:r>
      <w:r w:rsidRPr="00EE1C3B">
        <w:rPr>
          <w:color w:val="000000" w:themeColor="text1"/>
          <w:u w:color="000000" w:themeColor="text1"/>
        </w:rPr>
        <w:t xml:space="preserve"> must be secured in a forward</w:t>
      </w:r>
      <w:r w:rsidR="00F81C1A">
        <w:rPr>
          <w:color w:val="000000" w:themeColor="text1"/>
          <w:u w:color="000000" w:themeColor="text1"/>
        </w:rPr>
        <w:noBreakHyphen/>
      </w:r>
      <w:r w:rsidRPr="00EE1C3B">
        <w:rPr>
          <w:color w:val="000000" w:themeColor="text1"/>
          <w:u w:color="000000" w:themeColor="text1"/>
        </w:rPr>
        <w:t xml:space="preserve">facing child safety seat </w:t>
      </w:r>
      <w:r w:rsidRPr="00EE1C3B">
        <w:rPr>
          <w:color w:val="000000" w:themeColor="text1"/>
          <w:u w:val="single" w:color="000000" w:themeColor="text1"/>
        </w:rPr>
        <w:t>with a harness</w:t>
      </w:r>
      <w:r w:rsidRPr="00EE1C3B">
        <w:rPr>
          <w:color w:val="000000" w:themeColor="text1"/>
          <w:u w:color="000000" w:themeColor="text1"/>
        </w:rPr>
        <w:t xml:space="preserve"> </w:t>
      </w:r>
      <w:r w:rsidRPr="00EE1C3B">
        <w:rPr>
          <w:strike/>
          <w:color w:val="000000" w:themeColor="text1"/>
          <w:u w:color="000000" w:themeColor="text1"/>
        </w:rPr>
        <w:t>provided in the motor vehicle</w:t>
      </w:r>
      <w:r w:rsidRPr="00EE1C3B">
        <w:rPr>
          <w:color w:val="000000" w:themeColor="text1"/>
          <w:u w:color="000000" w:themeColor="text1"/>
        </w:rPr>
        <w:t xml:space="preserve"> which meets the standards prescribed by the National Highway Traffic Safety Administration.  </w:t>
      </w:r>
      <w:r w:rsidRPr="00EE1C3B">
        <w:rPr>
          <w:color w:val="000000" w:themeColor="text1"/>
          <w:u w:val="single" w:color="000000" w:themeColor="text1"/>
        </w:rPr>
        <w:t>Once the child</w:t>
      </w:r>
      <w:r w:rsidR="00F81C1A" w:rsidRPr="00F81C1A">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forward</w:t>
      </w:r>
      <w:r w:rsidR="00F81C1A">
        <w:rPr>
          <w:color w:val="000000" w:themeColor="text1"/>
          <w:u w:val="single" w:color="000000" w:themeColor="text1"/>
        </w:rPr>
        <w:noBreakHyphen/>
      </w:r>
      <w:r w:rsidRPr="00EE1C3B">
        <w:rPr>
          <w:color w:val="000000" w:themeColor="text1"/>
          <w:u w:val="single" w:color="000000" w:themeColor="text1"/>
        </w:rPr>
        <w:t>facing child safety passenger seat, the child must be placed in a seat</w:t>
      </w:r>
      <w:r w:rsidR="00F81C1A">
        <w:rPr>
          <w:color w:val="000000" w:themeColor="text1"/>
          <w:u w:val="single" w:color="000000" w:themeColor="text1"/>
        </w:rPr>
        <w:noBreakHyphen/>
      </w:r>
      <w:r w:rsidRPr="00EE1C3B">
        <w:rPr>
          <w:color w:val="000000" w:themeColor="text1"/>
          <w:u w:val="single" w:color="000000" w:themeColor="text1"/>
        </w:rPr>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(3)</w:t>
      </w:r>
      <w:r w:rsidRPr="00EE1C3B">
        <w:rPr>
          <w:color w:val="000000" w:themeColor="text1"/>
          <w:u w:color="000000" w:themeColor="text1"/>
        </w:rPr>
        <w:tab/>
        <w:t xml:space="preserve">A child who is at least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eight years</w:t>
      </w:r>
      <w:r w:rsidRPr="00EE1C3B">
        <w:rPr>
          <w:color w:val="000000" w:themeColor="text1"/>
          <w:u w:color="000000" w:themeColor="text1"/>
        </w:rPr>
        <w:t xml:space="preserve"> of age </w:t>
      </w:r>
      <w:r w:rsidRPr="00EE1C3B">
        <w:rPr>
          <w:strike/>
          <w:color w:val="000000" w:themeColor="text1"/>
          <w:u w:color="000000" w:themeColor="text1"/>
        </w:rPr>
        <w:t>but less than six years of age and who weighs at least forty pounds but not more than eighty pounds</w:t>
      </w:r>
      <w:r>
        <w:rPr>
          <w:strike/>
          <w:color w:val="000000" w:themeColor="text1"/>
          <w:u w:color="000000" w:themeColor="text1"/>
        </w:rPr>
        <w:t xml:space="preserve"> </w:t>
      </w:r>
      <w:r w:rsidRPr="00EE1C3B">
        <w:rPr>
          <w:strike/>
          <w:color w:val="000000" w:themeColor="text1"/>
          <w:u w:color="000000" w:themeColor="text1"/>
        </w:rPr>
        <w:t>must be secured by a belt</w:t>
      </w:r>
      <w:r w:rsidR="00F81C1A">
        <w:rPr>
          <w:strike/>
          <w:color w:val="000000" w:themeColor="text1"/>
          <w:u w:color="000000" w:themeColor="text1"/>
        </w:rPr>
        <w:noBreakHyphen/>
      </w:r>
      <w:r w:rsidRPr="00EE1C3B">
        <w:rPr>
          <w:strike/>
          <w:color w:val="000000" w:themeColor="text1"/>
          <w:u w:color="000000" w:themeColor="text1"/>
        </w:rPr>
        <w:t>positioning booster seat.  The belt</w:t>
      </w:r>
      <w:r w:rsidR="00F81C1A">
        <w:rPr>
          <w:strike/>
          <w:color w:val="000000" w:themeColor="text1"/>
          <w:u w:color="000000" w:themeColor="text1"/>
        </w:rPr>
        <w:noBreakHyphen/>
      </w:r>
      <w:r w:rsidRPr="00EE1C3B">
        <w:rPr>
          <w:strike/>
          <w:color w:val="000000" w:themeColor="text1"/>
          <w:u w:color="000000" w:themeColor="text1"/>
        </w:rPr>
        <w:t>positioning booster seat must be used with both lap and shoulder belts.  A booster seat must not be used with a lap belt alone</w:t>
      </w:r>
      <w:r>
        <w:rPr>
          <w:color w:val="000000" w:themeColor="text1"/>
          <w:u w:val="single" w:color="000000" w:themeColor="text1"/>
        </w:rPr>
        <w:t xml:space="preserve">, </w:t>
      </w:r>
      <w:r w:rsidRPr="00EE1C3B">
        <w:rPr>
          <w:color w:val="000000" w:themeColor="text1"/>
          <w:u w:val="single" w:color="000000" w:themeColor="text1"/>
        </w:rPr>
        <w:t>who is at least fifty</w:t>
      </w:r>
      <w:r w:rsidR="00F81C1A">
        <w:rPr>
          <w:color w:val="000000" w:themeColor="text1"/>
          <w:u w:val="single" w:color="000000" w:themeColor="text1"/>
        </w:rPr>
        <w:noBreakHyphen/>
      </w:r>
      <w:r w:rsidRPr="00EE1C3B">
        <w:rPr>
          <w:color w:val="000000" w:themeColor="text1"/>
          <w:u w:val="single" w:color="000000" w:themeColor="text1"/>
        </w:rPr>
        <w:t xml:space="preserve">seven inches tall, and is capable of sitting straight against the vehicle back seat cushion with his </w:t>
      </w:r>
      <w:r w:rsidRPr="00EE1C3B">
        <w:rPr>
          <w:color w:val="000000" w:themeColor="text1"/>
          <w:u w:val="single" w:color="000000" w:themeColor="text1"/>
        </w:rPr>
        <w:lastRenderedPageBreak/>
        <w:t>knees bent over the vehicle</w:t>
      </w:r>
      <w:r w:rsidR="00F81C1A" w:rsidRPr="00F81C1A">
        <w:rPr>
          <w:color w:val="000000" w:themeColor="text1"/>
          <w:u w:val="single" w:color="000000" w:themeColor="text1"/>
        </w:rPr>
        <w:t>’</w:t>
      </w:r>
      <w:r w:rsidRPr="00EE1C3B">
        <w:rPr>
          <w:color w:val="000000" w:themeColor="text1"/>
          <w:u w:val="single" w:color="000000" w:themeColor="text1"/>
        </w:rPr>
        <w:t>s seat edge without slouching and without the shoulder belt rising above the child</w:t>
      </w:r>
      <w:r w:rsidR="00F81C1A" w:rsidRPr="00F81C1A">
        <w:rPr>
          <w:color w:val="000000" w:themeColor="text1"/>
          <w:u w:val="single" w:color="000000" w:themeColor="text1"/>
        </w:rPr>
        <w:t>’</w:t>
      </w:r>
      <w:r w:rsidRPr="00EE1C3B">
        <w:rPr>
          <w:color w:val="000000" w:themeColor="text1"/>
          <w:u w:val="single" w:color="000000" w:themeColor="text1"/>
        </w:rPr>
        <w:t>s collarbone</w:t>
      </w:r>
      <w:r>
        <w:rPr>
          <w:color w:val="000000" w:themeColor="text1"/>
          <w:u w:val="single" w:color="000000" w:themeColor="text1"/>
        </w:rPr>
        <w:t>,</w:t>
      </w:r>
      <w:r w:rsidRPr="00EE1C3B">
        <w:rPr>
          <w:color w:val="000000" w:themeColor="text1"/>
          <w:u w:val="single" w:color="000000" w:themeColor="text1"/>
        </w:rPr>
        <w:t xml:space="preserve"> must be secured by an adult safety belt in a back passenger seat in the vehicle</w:t>
      </w:r>
      <w:r w:rsidRPr="00EE1C3B">
        <w:rPr>
          <w:color w:val="000000" w:themeColor="text1"/>
          <w:u w:color="000000" w:themeColor="text1"/>
        </w:rPr>
        <w:t xml:space="preserv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1C3B">
        <w:rPr>
          <w:color w:val="000000" w:themeColor="text1"/>
          <w:u w:color="000000" w:themeColor="text1"/>
        </w:rPr>
        <w:tab/>
        <w:t>(4)</w:t>
      </w:r>
      <w:r w:rsidRPr="00EE1C3B">
        <w:rPr>
          <w:color w:val="000000" w:themeColor="text1"/>
          <w:u w:color="000000" w:themeColor="text1"/>
        </w:rPr>
        <w:tab/>
      </w:r>
      <w:r w:rsidRPr="00EE1C3B">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F81C1A" w:rsidRPr="00F81C1A">
        <w:rPr>
          <w:strike/>
          <w:color w:val="000000" w:themeColor="text1"/>
          <w:u w:color="000000" w:themeColor="text1"/>
        </w:rPr>
        <w:t>’</w:t>
      </w:r>
      <w:r w:rsidRPr="00EE1C3B">
        <w:rPr>
          <w:strike/>
          <w:color w:val="000000" w:themeColor="text1"/>
          <w:u w:color="000000" w:themeColor="text1"/>
        </w:rPr>
        <w:t xml:space="preserve">s seat edge without slouching, the child may be seated in the regular back seat and secured by an adult safety belt.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7A4">
        <w:rPr>
          <w:color w:val="000000" w:themeColor="text1"/>
          <w:u w:color="000000" w:themeColor="text1"/>
        </w:rPr>
        <w:tab/>
      </w:r>
      <w:r w:rsidRPr="00EE1C3B">
        <w:rPr>
          <w:strike/>
          <w:color w:val="000000" w:themeColor="text1"/>
          <w:u w:color="000000" w:themeColor="text1"/>
        </w:rPr>
        <w:t>(5)</w:t>
      </w:r>
      <w:r w:rsidRPr="00EE1C3B">
        <w:rPr>
          <w:color w:val="000000" w:themeColor="text1"/>
          <w:u w:color="000000" w:themeColor="text1"/>
        </w:rPr>
        <w:tab/>
        <w:t xml:space="preserve">A child who is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394155" w:rsidRPr="00EE1C3B"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155" w:rsidRDefault="00394155" w:rsidP="0039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Section 56</w:t>
      </w:r>
      <w:r w:rsidR="00F81C1A">
        <w:rPr>
          <w:color w:val="000000" w:themeColor="text1"/>
          <w:u w:color="000000" w:themeColor="text1"/>
        </w:rPr>
        <w:noBreakHyphen/>
      </w:r>
      <w:r w:rsidRPr="00EE1C3B">
        <w:rPr>
          <w:color w:val="000000" w:themeColor="text1"/>
          <w:u w:color="000000" w:themeColor="text1"/>
        </w:rPr>
        <w:t>5</w:t>
      </w:r>
      <w:r w:rsidR="00F81C1A">
        <w:rPr>
          <w:color w:val="000000" w:themeColor="text1"/>
          <w:u w:color="000000" w:themeColor="text1"/>
        </w:rPr>
        <w:noBreakHyphen/>
      </w:r>
      <w:r>
        <w:rPr>
          <w:color w:val="000000" w:themeColor="text1"/>
          <w:u w:color="000000" w:themeColor="text1"/>
        </w:rPr>
        <w:t>6420.</w:t>
      </w:r>
      <w:r w:rsidRPr="00EE1C3B">
        <w:rPr>
          <w:color w:val="000000" w:themeColor="text1"/>
          <w:u w:color="000000" w:themeColor="text1"/>
        </w:rPr>
        <w:tab/>
        <w:t xml:space="preserve">If all the seating positions with restraint devices are occupied by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according to their ages.”</w:t>
      </w: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179" w:rsidRDefault="00C1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4155">
        <w:t>2</w:t>
      </w:r>
      <w:r>
        <w:t>.</w:t>
      </w:r>
      <w:r>
        <w:tab/>
      </w:r>
      <w:r w:rsidR="00394155" w:rsidRPr="00EE1C3B">
        <w:rPr>
          <w:color w:val="000000" w:themeColor="text1"/>
          <w:u w:color="000000" w:themeColor="text1"/>
        </w:rPr>
        <w:t xml:space="preserve">This act takes effect on the first day of the month </w:t>
      </w:r>
      <w:r w:rsidR="00394155">
        <w:rPr>
          <w:color w:val="000000" w:themeColor="text1"/>
          <w:u w:color="000000" w:themeColor="text1"/>
        </w:rPr>
        <w:t>b</w:t>
      </w:r>
      <w:r w:rsidR="00394155" w:rsidRPr="00EE1C3B">
        <w:rPr>
          <w:color w:val="000000" w:themeColor="text1"/>
          <w:u w:color="000000" w:themeColor="text1"/>
        </w:rPr>
        <w:t>eginning ninety days after approval by the Governor</w:t>
      </w:r>
      <w:r w:rsidR="00394155">
        <w:t>.</w:t>
      </w:r>
    </w:p>
    <w:p w:rsidR="00BF5201" w:rsidRDefault="00F81C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F05" w:rsidRDefault="00AF4F05" w:rsidP="00AF4F05">
      <w:pPr>
        <w:suppressAutoHyphens/>
      </w:pPr>
    </w:p>
    <w:sectPr w:rsidR="00AF4F05" w:rsidSect="00AF4F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79" w:rsidRDefault="00C10179" w:rsidP="009F0C77">
      <w:r>
        <w:separator/>
      </w:r>
    </w:p>
  </w:endnote>
  <w:endnote w:type="continuationSeparator" w:id="0">
    <w:p w:rsidR="00C10179" w:rsidRDefault="00C10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AFFE02-72F6-4735-8247-91BEFA978CF5}"/>
    <w:embedBold r:id="rId2" w:fontKey="{75FD1D81-B505-4895-96BF-BC489B9CEE89}"/>
  </w:font>
  <w:font w:name="Calibri">
    <w:panose1 w:val="020F0502020204030204"/>
    <w:charset w:val="00"/>
    <w:family w:val="swiss"/>
    <w:pitch w:val="variable"/>
    <w:sig w:usb0="E00002FF" w:usb1="4000ACFF" w:usb2="00000001" w:usb3="00000000" w:csb0="0000019F" w:csb1="00000000"/>
    <w:embedRegular r:id="rId3" w:fontKey="{7122E96B-7E10-423E-9ED6-A6EE5A2F320A}"/>
  </w:font>
  <w:font w:name="Segoe UI">
    <w:panose1 w:val="020B0502040204020203"/>
    <w:charset w:val="00"/>
    <w:family w:val="swiss"/>
    <w:pitch w:val="variable"/>
    <w:sig w:usb0="E10022FF" w:usb1="C000E47F" w:usb2="00000029" w:usb3="00000000" w:csb0="000001DF" w:csb1="00000000"/>
    <w:embedRegular r:id="rId4" w:fontKey="{A5D7EF74-A5CE-4B79-93C2-8F9E82569951}"/>
  </w:font>
  <w:font w:name="Cambria">
    <w:panose1 w:val="02040503050406030204"/>
    <w:charset w:val="00"/>
    <w:family w:val="roman"/>
    <w:pitch w:val="variable"/>
    <w:sig w:usb0="E00002FF" w:usb1="400004FF" w:usb2="00000000" w:usb3="00000000" w:csb0="0000019F" w:csb1="00000000"/>
    <w:embedRegular r:id="rId5" w:fontKey="{E07A9657-AE18-4FB2-BE56-49FC8FA06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201" w:rsidRPr="00AF4F05" w:rsidRDefault="00AF4F05" w:rsidP="00AF4F05">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79" w:rsidRDefault="00C10179" w:rsidP="009F0C77">
      <w:r>
        <w:separator/>
      </w:r>
    </w:p>
  </w:footnote>
  <w:footnote w:type="continuationSeparator" w:id="0">
    <w:p w:rsidR="00C10179" w:rsidRDefault="00C10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3CM16"/>
    <w:docVar w:name="CoverBillType" w:val="b"/>
    <w:docVar w:name="docpath" w:val="L:\Council\bills\GT\5063CM16.DOCX"/>
    <w:docVar w:name="dvBillNumber" w:val="4869"/>
    <w:docVar w:name="dvBillNumberPrefix" w:val="H. "/>
    <w:docVar w:name="dvOriginalBody" w:val="House"/>
    <w:docVar w:name="dvSteno" w:val="GT"/>
    <w:docVar w:name="NameofBody" w:val="h"/>
    <w:docVar w:name="vgroup2" w:val="Council"/>
  </w:docVars>
  <w:rsids>
    <w:rsidRoot w:val="00C10179"/>
    <w:rsid w:val="00011869"/>
    <w:rsid w:val="00015CD6"/>
    <w:rsid w:val="00071F1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15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3FE8"/>
    <w:rsid w:val="0069470D"/>
    <w:rsid w:val="00734F00"/>
    <w:rsid w:val="007A70AE"/>
    <w:rsid w:val="008362E8"/>
    <w:rsid w:val="00860044"/>
    <w:rsid w:val="008A1768"/>
    <w:rsid w:val="008F0F33"/>
    <w:rsid w:val="008F4429"/>
    <w:rsid w:val="00916065"/>
    <w:rsid w:val="0094021A"/>
    <w:rsid w:val="009B44AF"/>
    <w:rsid w:val="009C6A0B"/>
    <w:rsid w:val="009F0C77"/>
    <w:rsid w:val="009F4DD1"/>
    <w:rsid w:val="00A41684"/>
    <w:rsid w:val="00A64E80"/>
    <w:rsid w:val="00A72BCD"/>
    <w:rsid w:val="00A741D9"/>
    <w:rsid w:val="00A833AB"/>
    <w:rsid w:val="00A9741D"/>
    <w:rsid w:val="00AD4B17"/>
    <w:rsid w:val="00AF4F05"/>
    <w:rsid w:val="00B412D4"/>
    <w:rsid w:val="00B62D6E"/>
    <w:rsid w:val="00BE3C22"/>
    <w:rsid w:val="00BF5201"/>
    <w:rsid w:val="00C0345E"/>
    <w:rsid w:val="00C10179"/>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1C1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B6A84-B32C-475A-BCCD-61BFF822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C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D3D84-AFEF-48FF-AADF-F97B3C1A0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3</Pages>
  <Words>901</Words>
  <Characters>4338</Characters>
  <Application>Microsoft Office Word</Application>
  <DocSecurity>0</DocSecurity>
  <Lines>114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4869 Text of Previous Version (Feb. 10, 2016) - South Carolina Legislature Online</dc:title>
  <dc:creator>Gwen Thurmond</dc:creator>
  <cp:lastModifiedBy>N Cumfer</cp:lastModifiedBy>
  <cp:revision>2</cp:revision>
  <cp:lastPrinted>2016-02-08T13:56:00Z</cp:lastPrinted>
  <dcterms:created xsi:type="dcterms:W3CDTF">2016-02-10T15:34:00Z</dcterms:created>
  <dcterms:modified xsi:type="dcterms:W3CDTF">2016-02-10T15:34:00Z</dcterms:modified>
</cp:coreProperties>
</file>