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6D4"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E35CE" w:rsidRP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May </w:t>
      </w:r>
      <w:r w:rsidR="00EF7B66">
        <w:rPr>
          <w:rFonts w:eastAsia="Times New Roman"/>
        </w:rPr>
        <w:t>19</w:t>
      </w:r>
      <w:r>
        <w:rPr>
          <w:rFonts w:eastAsia="Times New Roman"/>
        </w:rPr>
        <w:t>, 2015</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35CE" w:rsidRPr="002E35CE" w:rsidRDefault="002E35CE" w:rsidP="002E35CE">
      <w:pPr>
        <w:tabs>
          <w:tab w:val="right" w:pos="5933"/>
        </w:tabs>
        <w:suppressAutoHyphens/>
        <w:jc w:val="both"/>
        <w:rPr>
          <w:rFonts w:eastAsia="Times New Roman"/>
        </w:rPr>
      </w:pPr>
      <w:r>
        <w:rPr>
          <w:rFonts w:eastAsia="Times New Roman"/>
        </w:rPr>
        <w:tab/>
      </w:r>
      <w:r>
        <w:rPr>
          <w:rFonts w:eastAsia="Times New Roman"/>
          <w:b/>
          <w:sz w:val="36"/>
        </w:rPr>
        <w:t>S. 590</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35C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74BE8">
        <w:t>Senators L. Martin and Hutto</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35CE" w:rsidRDefault="002E35CE" w:rsidP="004C2FA9">
      <w:pPr>
        <w:tabs>
          <w:tab w:val="right" w:pos="5933"/>
        </w:tabs>
        <w:suppressAutoHyphens/>
        <w:jc w:val="both"/>
        <w:rPr>
          <w:rFonts w:eastAsia="Times New Roman"/>
        </w:rPr>
      </w:pPr>
      <w:r>
        <w:rPr>
          <w:rFonts w:eastAsia="Times New Roman"/>
        </w:rPr>
        <w:t>S. Printed 5/</w:t>
      </w:r>
      <w:r w:rsidR="00EF7B66">
        <w:rPr>
          <w:rFonts w:eastAsia="Times New Roman"/>
        </w:rPr>
        <w:t>19</w:t>
      </w:r>
      <w:r>
        <w:rPr>
          <w:rFonts w:eastAsia="Times New Roman"/>
        </w:rPr>
        <w:t>/15--H.</w:t>
      </w:r>
      <w:r w:rsidR="004C2FA9">
        <w:rPr>
          <w:rFonts w:eastAsia="Times New Roman"/>
        </w:rPr>
        <w:tab/>
        <w:t>[SEC 5/20/15 11:24 AM]</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2E35CE" w:rsidRPr="002E35C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6D4" w:rsidRDefault="00652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26D4" w:rsidSect="006A5A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548" w:rsidRDefault="007A3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22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8B6ACE"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B6ACE">
        <w:rPr>
          <w:rFonts w:eastAsia="Times New Roman"/>
          <w:color w:val="000000" w:themeColor="text1"/>
          <w:u w:color="000000" w:themeColor="text1"/>
        </w:rPr>
        <w:t>TO AMEND SECTIONS 56</w:t>
      </w:r>
      <w:r w:rsidRPr="008B6ACE">
        <w:rPr>
          <w:rFonts w:eastAsia="Times New Roman"/>
          <w:color w:val="000000" w:themeColor="text1"/>
          <w:u w:color="000000" w:themeColor="text1"/>
        </w:rPr>
        <w:noBreakHyphen/>
        <w:t>1</w:t>
      </w:r>
      <w:r w:rsidRPr="008B6ACE">
        <w:rPr>
          <w:rFonts w:eastAsia="Times New Roman"/>
          <w:color w:val="000000" w:themeColor="text1"/>
          <w:u w:color="000000" w:themeColor="text1"/>
        </w:rPr>
        <w:noBreakHyphen/>
        <w:t>400(B) AND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2941(L), CODE OF LAWS OF SOUTH CAROLINA, 1976, RELATING TO IGNITION INTERLOCK DEVICES, SO AS TO PROVIDE THAT THE EMPLOYER’S VEHICLE WAIVER DOES NOT APPLY TO A PERSON CONVICTED OF A SECOND OR SUBSEQUENT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 AND TO AMEND SECTION 29</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2990(B), CODE OF LAWS OF SOUTH CAROLINA, 1976, RELATING TO THE SUSPENSION OF A PERSON’S DRIVER’S LICENSE FOR A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OR A LAW OF ANOTHER STATE THAT PROHIBITS A PERSON FROM DRIVING A MOTOR VEHICLE WHILE UNDER THE INFLUENCE OF ALCOHOL OR OTHER DRUGS, SO AS TO PROVIDE THAT ENTRY INTO AN ALCOHOL AND DRUG SAFETY ACTION PROGRAM’S SERVICES, IF THE SERVICES ARE NECESSARY, IS A MANDATORY REQUIREMENT FOR THE ISSUANCE OF AN IGNITION INTERLOCK RESTRICTED LICENSE.</w:t>
      </w:r>
      <w:bookmarkEnd w:id="1"/>
    </w:p>
    <w:p w:rsidR="005B5A59"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lastRenderedPageBreak/>
        <w:t>SECTION</w:t>
      </w:r>
      <w:r w:rsidRPr="002F6BA4">
        <w:rPr>
          <w:rFonts w:eastAsia="Times New Roman"/>
          <w:color w:val="000000" w:themeColor="text1"/>
          <w:u w:color="000000" w:themeColor="text1"/>
        </w:rPr>
        <w:tab/>
        <w:t>1.</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1</w:t>
      </w:r>
      <w:r w:rsidRPr="002F6BA4">
        <w:rPr>
          <w:rFonts w:eastAsia="Times New Roman"/>
          <w:color w:val="000000" w:themeColor="text1"/>
          <w:u w:color="000000" w:themeColor="text1"/>
        </w:rPr>
        <w:noBreakHyphen/>
        <w:t>400(B)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(B)(1)</w:t>
      </w:r>
      <w:r w:rsidR="00E57EF7">
        <w:rPr>
          <w:color w:val="000000" w:themeColor="text1"/>
          <w:u w:color="000000" w:themeColor="text1"/>
        </w:rPr>
        <w:tab/>
      </w:r>
      <w:r w:rsidRPr="002F6BA4">
        <w:rPr>
          <w:color w:val="000000" w:themeColor="text1"/>
          <w:u w:color="000000" w:themeColor="text1"/>
        </w:rPr>
        <w:tab/>
        <w:t>A person who does not own a vehicle, as shown in the Department of Motor Vehicles’ records, and who certifies that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cannot obtain a vehicle owner’s permission to have an ignition interlock device installed on a vehicle;</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will not be driving a vehicle other than a vehicle owned by the person’s employer;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will not own a vehicle during the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(2)</w:t>
      </w:r>
      <w:r w:rsidRPr="002F6BA4">
        <w:rPr>
          <w:color w:val="000000" w:themeColor="text1"/>
          <w:u w:color="000000" w:themeColor="text1"/>
        </w:rPr>
        <w:tab/>
        <w:t>The form must contain: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identifying information about the employer’s noncommercial vehicles that the person will be operating;</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a statement that explains the circumstances in which the person will be operating the employer’s vehicles;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the notarized signature of the person’s employer.</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(3)</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w:t>
      </w:r>
      <w:r w:rsidRPr="002F6BA4">
        <w:rPr>
          <w:color w:val="000000" w:themeColor="text1"/>
          <w:u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(4)</w:t>
      </w:r>
      <w:r w:rsidRPr="002F6BA4">
        <w:rPr>
          <w:color w:val="000000" w:themeColor="text1"/>
          <w:u w:color="000000" w:themeColor="text1"/>
        </w:rPr>
        <w:tab/>
        <w:t>Whenever the person operates the employer’s vehicle pursuant to this subsection, the person shall have with the person a copy of the form specified by this subsection.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color w:val="000000" w:themeColor="text1"/>
          <w:u w:color="000000" w:themeColor="text1"/>
        </w:rPr>
        <w:lastRenderedPageBreak/>
        <w:tab/>
      </w:r>
      <w:r w:rsidRPr="002F6BA4">
        <w:rPr>
          <w:color w:val="000000" w:themeColor="text1"/>
          <w:u w:color="000000" w:themeColor="text1"/>
        </w:rPr>
        <w:tab/>
        <w:t>(5)</w:t>
      </w:r>
      <w:r w:rsidRPr="002F6BA4">
        <w:rPr>
          <w:color w:val="000000" w:themeColor="text1"/>
          <w:u w:color="000000" w:themeColor="text1"/>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50AAB">
        <w:rPr>
          <w:rFonts w:eastAsia="Times New Roman"/>
          <w:color w:val="000000" w:themeColor="text1"/>
          <w:u w:color="000000" w:themeColor="text1"/>
        </w:rPr>
        <w:t>SECTION</w:t>
      </w:r>
      <w:r w:rsidRPr="00D50AAB">
        <w:rPr>
          <w:rFonts w:eastAsia="Times New Roman"/>
          <w:color w:val="000000" w:themeColor="text1"/>
          <w:u w:color="000000" w:themeColor="text1"/>
        </w:rPr>
        <w:tab/>
      </w:r>
      <w:r w:rsidR="002E35CE">
        <w:rPr>
          <w:rFonts w:eastAsia="Times New Roman"/>
          <w:color w:val="000000" w:themeColor="text1"/>
          <w:u w:color="000000" w:themeColor="text1"/>
        </w:rPr>
        <w:t>2</w:t>
      </w:r>
      <w:r w:rsidRPr="00D50AAB">
        <w:rPr>
          <w:rFonts w:eastAsia="Times New Roman"/>
          <w:color w:val="000000" w:themeColor="text1"/>
          <w:u w:color="000000" w:themeColor="text1"/>
        </w:rPr>
        <w:t>.</w:t>
      </w:r>
      <w:r w:rsidRPr="00D50AAB">
        <w:rPr>
          <w:rFonts w:eastAsia="Times New Roman"/>
          <w:color w:val="000000" w:themeColor="text1"/>
          <w:u w:color="000000" w:themeColor="text1"/>
        </w:rPr>
        <w:tab/>
        <w:t>Section 56</w:t>
      </w:r>
      <w:r w:rsidRPr="00D50AAB">
        <w:rPr>
          <w:rFonts w:eastAsia="Times New Roman"/>
          <w:color w:val="000000" w:themeColor="text1"/>
          <w:u w:color="000000" w:themeColor="text1"/>
        </w:rPr>
        <w:noBreakHyphen/>
        <w:t>5</w:t>
      </w:r>
      <w:r w:rsidRPr="00D50AAB">
        <w:rPr>
          <w:rFonts w:eastAsia="Times New Roman"/>
          <w:color w:val="000000" w:themeColor="text1"/>
          <w:u w:color="000000" w:themeColor="text1"/>
        </w:rPr>
        <w:noBreakHyphen/>
        <w:t>2990(B) of the 1976 Code is amended to read:</w:t>
      </w: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A22BA"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0AAB">
        <w:rPr>
          <w:rFonts w:eastAsia="Times New Roman"/>
          <w:color w:val="000000" w:themeColor="text1"/>
          <w:szCs w:val="24"/>
          <w:u w:color="000000" w:themeColor="text1"/>
        </w:rPr>
        <w:tab/>
        <w:t>“</w:t>
      </w:r>
      <w:r w:rsidRPr="00D50AAB">
        <w:rPr>
          <w:color w:val="000000" w:themeColor="text1"/>
          <w:u w:color="000000" w:themeColor="text1"/>
        </w:rPr>
        <w:t>(B)</w:t>
      </w:r>
      <w:r w:rsidRPr="00D50AAB">
        <w:rPr>
          <w:color w:val="000000" w:themeColor="text1"/>
          <w:u w:color="000000" w:themeColor="text1"/>
        </w:rPr>
        <w:tab/>
        <w:t>A person whose license is suspended pursuant to this section, Section 56</w:t>
      </w:r>
      <w:r w:rsidRPr="00D50AAB">
        <w:rPr>
          <w:color w:val="000000" w:themeColor="text1"/>
          <w:u w:color="000000" w:themeColor="text1"/>
        </w:rPr>
        <w:noBreakHyphen/>
        <w:t>1</w:t>
      </w:r>
      <w:r w:rsidRPr="00D50AAB">
        <w:rPr>
          <w:color w:val="000000" w:themeColor="text1"/>
          <w:u w:color="000000" w:themeColor="text1"/>
        </w:rPr>
        <w:noBreakHyphen/>
        <w:t>286, 56</w:t>
      </w:r>
      <w:r w:rsidRPr="00D50AAB">
        <w:rPr>
          <w:color w:val="000000" w:themeColor="text1"/>
          <w:u w:color="000000" w:themeColor="text1"/>
        </w:rPr>
        <w:noBreakHyphen/>
        <w:t>5</w:t>
      </w:r>
      <w:r w:rsidRPr="00D50AAB">
        <w:rPr>
          <w:color w:val="000000" w:themeColor="text1"/>
          <w:u w:color="000000" w:themeColor="text1"/>
        </w:rPr>
        <w:noBreakHyphen/>
        <w:t>2945, or 56</w:t>
      </w:r>
      <w:r w:rsidRPr="00D50AAB">
        <w:rPr>
          <w:color w:val="000000" w:themeColor="text1"/>
          <w:u w:color="000000" w:themeColor="text1"/>
        </w:rPr>
        <w:noBreakHyphen/>
        <w:t>5</w:t>
      </w:r>
      <w:r w:rsidRPr="00D50AAB">
        <w:rPr>
          <w:color w:val="000000" w:themeColor="text1"/>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D50AAB">
        <w:rPr>
          <w:color w:val="000000" w:themeColor="text1"/>
          <w:u w:color="000000" w:themeColor="text1"/>
        </w:rPr>
        <w:noBreakHyphen/>
        <w:t>ordered drug program may use the route restricted or special restricted driver’s license to attend the Alcohol and Drug Safety Action Program classes or court</w:t>
      </w:r>
      <w:r w:rsidRPr="00D50AAB">
        <w:rPr>
          <w:color w:val="000000" w:themeColor="text1"/>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person must be prepared and a plan of education or treatment, or both, must be developed for the person.  Entry into </w:t>
      </w:r>
      <w:r w:rsidRPr="00D50AAB">
        <w:rPr>
          <w:strike/>
          <w:color w:val="000000" w:themeColor="text1"/>
          <w:u w:color="000000" w:themeColor="text1"/>
        </w:rPr>
        <w:t>and successful completion of</w:t>
      </w:r>
      <w:r w:rsidRPr="00D50AAB">
        <w:rPr>
          <w:color w:val="000000" w:themeColor="text1"/>
          <w:u w:color="000000" w:themeColor="text1"/>
        </w:rPr>
        <w:t xml:space="preserve"> the services, if the services are necessary, recommended in the plan of education or treatment, or both, developed for the person is a mandatory requirement of the issuance of an ignition interlock restricted license </w:t>
      </w:r>
      <w:r w:rsidRPr="00F6149D">
        <w:rPr>
          <w:strike/>
          <w:color w:val="000000" w:themeColor="text1"/>
          <w:u w:color="000000" w:themeColor="text1"/>
        </w:rPr>
        <w:t>and restoration of driving privileges</w:t>
      </w:r>
      <w:r w:rsidRPr="00D50AAB">
        <w:rPr>
          <w:color w:val="000000" w:themeColor="text1"/>
          <w:u w:color="000000" w:themeColor="text1"/>
        </w:rPr>
        <w:t xml:space="preserve"> to the person whose license is suspended pursuant to this section.  </w:t>
      </w:r>
      <w:r w:rsidRPr="00F6149D">
        <w:rPr>
          <w:color w:val="000000" w:themeColor="text1"/>
          <w:u w:val="single"/>
        </w:rPr>
        <w:t xml:space="preserve">Successful completion of the services, if the services are necessary, recommended in the plan of education or treatment, or both, developed for the person is a mandatory requirement of the </w:t>
      </w:r>
      <w:r>
        <w:rPr>
          <w:color w:val="000000" w:themeColor="text1"/>
          <w:u w:val="single"/>
        </w:rPr>
        <w:t xml:space="preserve">full </w:t>
      </w:r>
      <w:r w:rsidRPr="00F6149D">
        <w:rPr>
          <w:color w:val="000000" w:themeColor="text1"/>
          <w:u w:val="single"/>
        </w:rPr>
        <w:t>restoration of driving privileges to the person whose license is suspended pursuant to this section</w:t>
      </w:r>
      <w:r>
        <w:rPr>
          <w:color w:val="000000" w:themeColor="text1"/>
          <w:u w:val="single"/>
        </w:rPr>
        <w:t>.</w:t>
      </w:r>
      <w:r>
        <w:rPr>
          <w:color w:val="000000" w:themeColor="text1"/>
        </w:rPr>
        <w:t xml:space="preserve">  </w:t>
      </w:r>
      <w:r w:rsidRPr="00D50AAB">
        <w:rPr>
          <w:color w:val="000000" w:themeColor="text1"/>
          <w:u w:color="000000" w:themeColor="text1"/>
        </w:rPr>
        <w:t xml:space="preserve">The Alcohol and Drug Safety Action Program shall determine if the person has successfully completed the services.  Alcohol and Drug Safety Action Programs </w:t>
      </w:r>
      <w:r w:rsidRPr="00D50AAB">
        <w:rPr>
          <w:color w:val="000000" w:themeColor="text1"/>
          <w:u w:color="000000" w:themeColor="text1"/>
        </w:rPr>
        <w:lastRenderedPageBreak/>
        <w:t>shall meet at least once a month.  The person whose license is suspended shall attend the first Alcohol and Drug Safety Action Program available after the date of enrollment.”</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B008E">
        <w:rPr>
          <w:rFonts w:eastAsia="Times New Roman"/>
          <w:szCs w:val="20"/>
        </w:rPr>
        <w:t>SECTION</w:t>
      </w:r>
      <w:r w:rsidRPr="001B008E">
        <w:rPr>
          <w:rFonts w:eastAsia="Times New Roman"/>
          <w:szCs w:val="20"/>
        </w:rPr>
        <w:tab/>
      </w:r>
      <w:r>
        <w:rPr>
          <w:rFonts w:eastAsia="Times New Roman"/>
          <w:szCs w:val="20"/>
        </w:rPr>
        <w:t>3</w:t>
      </w:r>
      <w:r w:rsidRPr="001B008E">
        <w:rPr>
          <w:rFonts w:eastAsia="Times New Roman"/>
          <w:szCs w:val="20"/>
        </w:rPr>
        <w:t>.</w:t>
      </w:r>
      <w:r w:rsidRPr="001B008E">
        <w:rPr>
          <w:rFonts w:eastAsia="Times New Roman"/>
          <w:szCs w:val="20"/>
        </w:rPr>
        <w:tab/>
        <w:t>Section 56</w:t>
      </w:r>
      <w:r w:rsidRPr="001B008E">
        <w:rPr>
          <w:rFonts w:eastAsia="Times New Roman"/>
          <w:szCs w:val="20"/>
        </w:rPr>
        <w:noBreakHyphen/>
        <w:t>5</w:t>
      </w:r>
      <w:r w:rsidRPr="001B008E">
        <w:rPr>
          <w:rFonts w:eastAsia="Times New Roman"/>
          <w:szCs w:val="20"/>
        </w:rPr>
        <w:noBreakHyphen/>
        <w:t>2941 of the 1976 Code as last amended by Act 158 of 2014, is further amended to read:</w:t>
      </w:r>
    </w:p>
    <w:p w:rsidR="002E35C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rPr>
          <w:rFonts w:eastAsia="Times New Roman"/>
          <w:szCs w:val="20"/>
        </w:rPr>
        <w:tab/>
        <w:t>“</w:t>
      </w:r>
      <w:r w:rsidRPr="001B008E">
        <w:t>(A)</w:t>
      </w:r>
      <w:r w:rsidRPr="001B008E">
        <w:tab/>
        <w:t>The Department of Motor Vehicles shall require a person who is a resident of this State and who is convicted of violating the provisions of Section 56</w:t>
      </w:r>
      <w:r w:rsidRPr="001B008E">
        <w:noBreakHyphen/>
        <w:t>5</w:t>
      </w:r>
      <w:r w:rsidRPr="001B008E">
        <w:noBreakHyphen/>
        <w:t>2930, 56</w:t>
      </w:r>
      <w:r w:rsidRPr="001B008E">
        <w:noBreakHyphen/>
        <w:t>5</w:t>
      </w:r>
      <w:r w:rsidRPr="001B008E">
        <w:noBreakHyphen/>
        <w:t>2933, 56</w:t>
      </w:r>
      <w:r w:rsidRPr="001B008E">
        <w:noBreakHyphen/>
        <w:t>5</w:t>
      </w:r>
      <w:r w:rsidRPr="001B008E">
        <w:noBreakHyphen/>
        <w:t>2945, 56</w:t>
      </w:r>
      <w:r w:rsidRPr="001B008E">
        <w:noBreakHyphen/>
        <w:t>5</w:t>
      </w:r>
      <w:r w:rsidRPr="001B008E">
        <w:noBreakHyphen/>
        <w:t>2947 except if the conviction was for Section 56</w:t>
      </w:r>
      <w:r w:rsidRPr="001B008E">
        <w:noBreakHyphen/>
        <w:t>5</w:t>
      </w:r>
      <w:r w:rsidRPr="001B008E">
        <w:noBreakHyphen/>
        <w:t>750, or a law of another state that prohibits a person from driving a motor vehicle while under the influence of alcohol or other drugs, to have installed on any motor vehicle the person drives an ignition interlock device designed to prevent driving of the motor vehicle if the person has consumed alcoholic beverages. This section does not apply to a person convicted of a first offense violation of Section 56</w:t>
      </w:r>
      <w:r w:rsidRPr="001B008E">
        <w:noBreakHyphen/>
        <w:t>5</w:t>
      </w:r>
      <w:r w:rsidRPr="001B008E">
        <w:noBreakHyphen/>
        <w:t>2930 or 56</w:t>
      </w:r>
      <w:r w:rsidRPr="001B008E">
        <w:noBreakHyphen/>
        <w:t>5</w:t>
      </w:r>
      <w:r w:rsidRPr="001B008E">
        <w:noBreakHyphen/>
        <w:t>2933, unless the person submitted to a breath test pursuant to Section 56</w:t>
      </w:r>
      <w:r w:rsidRPr="001B008E">
        <w:noBreakHyphen/>
        <w:t>5</w:t>
      </w:r>
      <w:r w:rsidRPr="001B008E">
        <w:noBreakHyphen/>
        <w:t>2950 and had an alcohol concentration of fifteen one</w:t>
      </w:r>
      <w:r w:rsidRPr="001B008E">
        <w:noBreakHyphen/>
        <w:t>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The length of time that a device is required to be affixed to a motor vehicle as set forth in Sections 56</w:t>
      </w:r>
      <w:r w:rsidRPr="001B008E">
        <w:noBreakHyphen/>
        <w:t>1</w:t>
      </w:r>
      <w:r w:rsidRPr="001B008E">
        <w:noBreakHyphen/>
        <w:t>286, 56</w:t>
      </w:r>
      <w:r w:rsidRPr="001B008E">
        <w:noBreakHyphen/>
        <w:t>5</w:t>
      </w:r>
      <w:r w:rsidRPr="001B008E">
        <w:noBreakHyphen/>
        <w:t>2945, 56</w:t>
      </w:r>
      <w:r w:rsidRPr="001B008E">
        <w:noBreakHyphen/>
        <w:t>5</w:t>
      </w:r>
      <w:r w:rsidRPr="001B008E">
        <w:noBreakHyphen/>
        <w:t>2947 except if the conviction was for Section 56</w:t>
      </w:r>
      <w:r w:rsidRPr="001B008E">
        <w:noBreakHyphen/>
        <w:t>5</w:t>
      </w:r>
      <w:r w:rsidRPr="001B008E">
        <w:noBreakHyphen/>
        <w:t>750, 56</w:t>
      </w:r>
      <w:r w:rsidRPr="001B008E">
        <w:noBreakHyphen/>
        <w:t>5</w:t>
      </w:r>
      <w:r w:rsidRPr="001B008E">
        <w:noBreakHyphen/>
        <w:t>2951, and 56</w:t>
      </w:r>
      <w:r w:rsidRPr="001B008E">
        <w:noBreakHyphen/>
        <w:t>5</w:t>
      </w:r>
      <w:r w:rsidRPr="001B008E">
        <w:noBreakHyphen/>
        <w:t>2990.</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(B)</w:t>
      </w:r>
      <w:r w:rsidRPr="001B008E">
        <w:tab/>
        <w:t xml:space="preserve">Notwithstanding the pleadings, for purposes of a second or a subsequent offense, the specified length of time that a device is required to be affixed to a motor vehicle is based on the Department of Motor Vehicle’s records for offenses pursuant to Section </w:t>
      </w:r>
      <w:r w:rsidRPr="001B008E">
        <w:lastRenderedPageBreak/>
        <w:t>56</w:t>
      </w:r>
      <w:r w:rsidRPr="001B008E">
        <w:noBreakHyphen/>
        <w:t>1</w:t>
      </w:r>
      <w:r w:rsidRPr="001B008E">
        <w:noBreakHyphen/>
        <w:t>286, 56</w:t>
      </w:r>
      <w:r w:rsidRPr="001B008E">
        <w:noBreakHyphen/>
        <w:t>5</w:t>
      </w:r>
      <w:r w:rsidRPr="001B008E">
        <w:noBreakHyphen/>
        <w:t>2930, 56</w:t>
      </w:r>
      <w:r w:rsidRPr="001B008E">
        <w:noBreakHyphen/>
        <w:t>5</w:t>
      </w:r>
      <w:r w:rsidRPr="001B008E">
        <w:noBreakHyphen/>
        <w:t>2933, 56</w:t>
      </w:r>
      <w:r w:rsidRPr="001B008E">
        <w:noBreakHyphen/>
        <w:t>5</w:t>
      </w:r>
      <w:r w:rsidRPr="001B008E">
        <w:noBreakHyphen/>
        <w:t>2945, 56</w:t>
      </w:r>
      <w:r w:rsidRPr="001B008E">
        <w:noBreakHyphen/>
        <w:t>5</w:t>
      </w:r>
      <w:r w:rsidRPr="001B008E">
        <w:noBreakHyphen/>
        <w:t>2947 except if the conviction was for Section 56</w:t>
      </w:r>
      <w:r w:rsidRPr="001B008E">
        <w:noBreakHyphen/>
        <w:t>5</w:t>
      </w:r>
      <w:r w:rsidRPr="001B008E">
        <w:noBreakHyphen/>
        <w:t>750, 56</w:t>
      </w:r>
      <w:r w:rsidRPr="001B008E">
        <w:noBreakHyphen/>
        <w:t>5</w:t>
      </w:r>
      <w:r w:rsidRPr="001B008E">
        <w:noBreakHyphen/>
        <w:t>2950, or 56</w:t>
      </w:r>
      <w:r w:rsidRPr="001B008E">
        <w:noBreakHyphen/>
        <w:t>5</w:t>
      </w:r>
      <w:r w:rsidRPr="001B008E">
        <w:noBreakHyphen/>
        <w:t>2951.</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(C)</w:t>
      </w:r>
      <w:r w:rsidRPr="001B008E">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(D)</w:t>
      </w:r>
      <w:r w:rsidRPr="001B008E">
        <w:tab/>
        <w:t>If a person from another state becomes a resident of South Carolina while subject to an ignition interlock device requirement in another state, the person may only obtain a South Carolina driver’s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(E)</w:t>
      </w:r>
      <w:r w:rsidRPr="001B008E">
        <w:tab/>
        <w:t>The person must be subject to an Ignition Interlock Device Point System managed by the Department of Probation, Parole and Pardon Services. A person accumulating a total of:</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(1)</w:t>
      </w:r>
      <w:r w:rsidRPr="001B008E">
        <w:tab/>
        <w:t>two points or more, but less than three points, must have the length of time that the device is required extended by two months;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(2)</w:t>
      </w:r>
      <w:r w:rsidRPr="001B008E">
        <w:tab/>
        <w:t>three points or more, but less than four points, must have the length of time that the device is required extended by four months, shall submit to a substance abuse assessment pursuant to Section 56</w:t>
      </w:r>
      <w:r w:rsidRPr="001B008E">
        <w:noBreakHyphen/>
        <w:t>5</w:t>
      </w:r>
      <w:r w:rsidRPr="001B008E">
        <w:noBreakHyphen/>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person’s ignition interlock restricted license until the plan is completed or progress is being made toward completing the plan;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(3)</w:t>
      </w:r>
      <w:r w:rsidRPr="001B008E">
        <w:tab/>
        <w:t>four points or more must have the person’s ignition interlock restricted license suspended for a period of six months, shall submit to a substance abuse assessment pursuant to Section 56</w:t>
      </w:r>
      <w:r w:rsidRPr="001B008E">
        <w:noBreakHyphen/>
        <w:t>5</w:t>
      </w:r>
      <w:r w:rsidRPr="001B008E">
        <w:noBreakHyphen/>
        <w:t xml:space="preserve">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person’s ignition </w:t>
      </w:r>
      <w:r w:rsidRPr="001B008E">
        <w:lastRenderedPageBreak/>
        <w:t>interlock restricted license in suspended status, or, if the license has already been reinstated following the six</w:t>
      </w:r>
      <w:r w:rsidRPr="001B008E">
        <w:noBreakHyphen/>
        <w:t>month suspension, shall resuspend the person’s ignition interlock restricted license until the plan is completed or progress is being made toward completing the plan. The Department of Alcohol and Other Drug Abuse Services is responsible for notifying the Department of Motor Vehicles of a person’s completion and compliance with education and treatment programs. Upon reinstatement of driving privileges following the six</w:t>
      </w:r>
      <w:r w:rsidRPr="001B008E">
        <w:noBreakHyphen/>
        <w:t>month suspension, the Department of Probation, Parole and Pardon Services shall reset the person’s point total to zero points, and the person shall complete the remaining period of time on the ignition interlock device.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(F)</w:t>
      </w:r>
      <w:r w:rsidRPr="001B008E">
        <w:tab/>
        <w:t>The cost of the device must be borne by the person. However, 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dependents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lastRenderedPageBreak/>
        <w:tab/>
        <w:t>(G)</w:t>
      </w:r>
      <w:r w:rsidRPr="001B008E">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(H)(1)</w:t>
      </w:r>
      <w:r w:rsidRPr="001B008E">
        <w:tab/>
        <w:t>The person shall have the device inspected every sixty days to verify that the device is affixed to the motor vehicle and properly operating, and to allow for the preparation of an ignition interlock device inspection report by the service provider indicating the person’s alcohol content at each attempt to start and running retest during each sixty</w:t>
      </w:r>
      <w:r w:rsidRPr="001B008E">
        <w:noBreakHyphen/>
        <w:t>day period. Failure of the person to have the interlock device inspected every sixty days must result in one ignition interlock device point.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(2)</w:t>
      </w:r>
      <w:r w:rsidRPr="001B008E">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person’s name, identify the vehicle upon which the failed device is installed, and the reason for the failed inspection.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(3)</w:t>
      </w:r>
      <w:r w:rsidRPr="001B008E">
        <w:tab/>
        <w:t>If the inspection report reflects that the person has failed to complete a running retest, the person must be assessed one ignition interlock device point.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B008E">
        <w:tab/>
      </w:r>
      <w:r w:rsidRPr="001B008E">
        <w:tab/>
        <w:t>(4)</w:t>
      </w:r>
      <w:r w:rsidRPr="001B008E">
        <w:tab/>
      </w:r>
      <w:r w:rsidRPr="001B008E">
        <w:rPr>
          <w:u w:val="single"/>
        </w:rPr>
        <w:t>If any inspection report or any photographic images collected by the device shows that the person has violated subsection (M), (O), or (P) of this section, the person must be assessed one and one</w:t>
      </w:r>
      <w:r w:rsidRPr="001B008E">
        <w:rPr>
          <w:u w:val="single"/>
        </w:rPr>
        <w:noBreakHyphen/>
        <w:t>half ignition interlock device points.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rPr>
          <w:u w:val="single"/>
        </w:rPr>
        <w:t>(5)</w:t>
      </w:r>
      <w:r w:rsidRPr="001B008E">
        <w:tab/>
        <w:t>The inspection report must indicate the person’s alcohol content at each attempt to start and running retest during each sixty</w:t>
      </w:r>
      <w:r w:rsidRPr="001B008E">
        <w:noBreakHyphen/>
        <w:t>day period. If the report reflects that the person violated a running retest by having an alcohol concentration of:</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(a)</w:t>
      </w:r>
      <w:r w:rsidRPr="001B008E">
        <w:tab/>
        <w:t>two one</w:t>
      </w:r>
      <w:r w:rsidRPr="001B008E">
        <w:noBreakHyphen/>
        <w:t>hundredths of one percent or more but less than four one</w:t>
      </w:r>
      <w:r w:rsidRPr="001B008E">
        <w:noBreakHyphen/>
        <w:t>hundredths of one percent, the person must be assessed one</w:t>
      </w:r>
      <w:r w:rsidRPr="001B008E">
        <w:noBreakHyphen/>
        <w:t>half ignition interlock device point;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(b)</w:t>
      </w:r>
      <w:r w:rsidRPr="001B008E">
        <w:tab/>
        <w:t>four one</w:t>
      </w:r>
      <w:r w:rsidRPr="001B008E">
        <w:noBreakHyphen/>
        <w:t>hundredths of one percent or more but less than fifteen one</w:t>
      </w:r>
      <w:r w:rsidRPr="001B008E">
        <w:noBreakHyphen/>
        <w:t>hundredths of one percent, the person must be assessed one ignition interlock device point; or</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lastRenderedPageBreak/>
        <w:tab/>
      </w:r>
      <w:r w:rsidRPr="001B008E">
        <w:tab/>
      </w:r>
      <w:r w:rsidRPr="001B008E">
        <w:tab/>
        <w:t>(c)</w:t>
      </w:r>
      <w:r w:rsidRPr="001B008E">
        <w:tab/>
        <w:t>fifteen one</w:t>
      </w:r>
      <w:r w:rsidRPr="001B008E">
        <w:noBreakHyphen/>
        <w:t>hundredths of one percent or more, the person must be assessed two ignition interlock device points.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rPr>
          <w:strike/>
        </w:rPr>
        <w:t>(5)</w:t>
      </w:r>
      <w:r w:rsidRPr="001B008E">
        <w:rPr>
          <w:u w:val="single"/>
        </w:rPr>
        <w:t>(6)</w:t>
      </w:r>
      <w:r w:rsidRPr="001B008E">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officer’s decision on appeal is final and no appeal from such decision is allowed.</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(I)(1)</w:t>
      </w:r>
      <w:r w:rsidRPr="001B008E">
        <w:tab/>
        <w:t>If a person’s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person’s driver’s license is suspended pursuant to Section 56</w:t>
      </w:r>
      <w:r w:rsidRPr="001B008E">
        <w:noBreakHyphen/>
        <w:t>5</w:t>
      </w:r>
      <w:r w:rsidRPr="001B008E">
        <w:noBreakHyphen/>
        <w:t>2941(E).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(2)</w:t>
      </w:r>
      <w:r w:rsidRPr="001B008E">
        <w:tab/>
        <w:t>The person may seek relief from the Department of Probation, Parole and Pardon Services</w:t>
      </w:r>
      <w:r w:rsidR="004C2FA9">
        <w:rPr>
          <w:u w:val="single"/>
        </w:rPr>
        <w:t>’</w:t>
      </w:r>
      <w:r w:rsidRPr="001B008E">
        <w:t xml:space="preserve"> determination that a person’s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driver’s license suspension pending the outcome of the hearing. However, the filing of the request for a contested case hearing will not stay the requirements of the person having the ignition interlock device.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(3)</w:t>
      </w:r>
      <w:r w:rsidRPr="001B008E">
        <w:tab/>
        <w:t>At the contested case hearing:</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(a)</w:t>
      </w:r>
      <w:r w:rsidRPr="001B008E">
        <w:tab/>
        <w:t>the assessment of driver’s license suspension can be upheld;</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(b)</w:t>
      </w:r>
      <w:r w:rsidRPr="001B008E">
        <w:tab/>
        <w:t>the driver’s license suspension can be overturned, or any or all of the contested ignition interlock points included in the device inspection report that results in the contested suspension can be overturned, and the penalties as specified pursuant to Section 56</w:t>
      </w:r>
      <w:r w:rsidRPr="001B008E">
        <w:noBreakHyphen/>
        <w:t>5</w:t>
      </w:r>
      <w:r w:rsidRPr="001B008E">
        <w:noBreakHyphen/>
        <w:t>2941(E) will then be imposed accordingly.</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(4)</w:t>
      </w:r>
      <w:r w:rsidRPr="001B008E">
        <w:tab/>
        <w:t xml:space="preserve">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w:t>
      </w:r>
      <w:r w:rsidRPr="001B008E">
        <w:lastRenderedPageBreak/>
        <w:t>upkeep by the person challenging the accumulation of ignition interlock points pursuant to the requirement of the ignition interlock program, such allegation cannot serve as a basis to overturn point accumulations.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(5)</w:t>
      </w:r>
      <w:r w:rsidRPr="001B008E">
        <w:tab/>
        <w:t>A written order must be issued by the Office of Motor Vehicle Hearings to all parties either reversing or upholding the assessment of ignition interlock points.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(6)</w:t>
      </w:r>
      <w:r w:rsidRPr="001B008E">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(J)</w:t>
      </w:r>
      <w:r w:rsidRPr="001B008E">
        <w:tab/>
        <w:t>Five years from the date of the person’s driver’s license reinstatement and every five years thereafter</w:t>
      </w:r>
      <w:r w:rsidR="004C2FA9">
        <w:rPr>
          <w:u w:val="single"/>
        </w:rPr>
        <w:t>,</w:t>
      </w:r>
      <w:r w:rsidRPr="001B008E">
        <w:t xml:space="preserve"> a fourth or subsequent offender whose license has been reinstated pursuant to Section 56</w:t>
      </w:r>
      <w:r w:rsidRPr="001B008E">
        <w:noBreakHyphen/>
        <w:t>1</w:t>
      </w:r>
      <w:r w:rsidRPr="001B008E">
        <w:noBreakHyphen/>
        <w:t>385 may apply to the Department of Probation, Parole and Pardon Services for removal of the ignition interlock device and the removal of the restriction from the person’s driver’s license. The Department of Probation, Parole and Pardon Services may, for good cause shown, notify the Department of Motor Vehicles that the person is eligible to have the restriction removed from the person’s license.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(K)(1)</w:t>
      </w:r>
      <w:r w:rsidRPr="001B008E">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(a)</w:t>
      </w:r>
      <w:r w:rsidRPr="001B008E">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(b)</w:t>
      </w:r>
      <w:r w:rsidRPr="001B008E">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(c)</w:t>
      </w:r>
      <w:r w:rsidRPr="001B008E">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lastRenderedPageBreak/>
        <w:tab/>
      </w:r>
      <w:r w:rsidRPr="001B008E">
        <w:tab/>
        <w:t>(2)</w:t>
      </w:r>
      <w:r w:rsidRPr="001B008E">
        <w:tab/>
        <w:t>No portion of the minimum sentence imposed pursuant to this subsection may be suspended.</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(3)</w:t>
      </w:r>
      <w:r w:rsidRPr="001B008E">
        <w:tab/>
        <w:t>Notwithstanding any other provision of law, a first or second offense punishable pursuant to this subsection may be tried in summary court.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(L)(1)</w:t>
      </w:r>
      <w:r w:rsidRPr="001B008E">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B008E">
        <w:rPr>
          <w:u w:color="000000" w:themeColor="text1"/>
        </w:rPr>
        <w:tab/>
      </w:r>
      <w:r w:rsidRPr="001B008E">
        <w:rPr>
          <w:u w:color="000000" w:themeColor="text1"/>
        </w:rPr>
        <w:tab/>
      </w:r>
      <w:r w:rsidRPr="001B008E">
        <w:rPr>
          <w:u w:val="single" w:color="000000" w:themeColor="text1"/>
        </w:rPr>
        <w:t>(2)</w:t>
      </w:r>
      <w:r w:rsidRPr="001B008E">
        <w:rPr>
          <w:u w:color="000000" w:themeColor="text1"/>
        </w:rPr>
        <w:tab/>
        <w:t>This subsection does not apply to</w:t>
      </w:r>
      <w:r w:rsidRPr="001B008E">
        <w:rPr>
          <w:u w:val="single" w:color="000000" w:themeColor="text1"/>
        </w:rPr>
        <w: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B008E">
        <w:rPr>
          <w:u w:color="000000" w:themeColor="text1"/>
        </w:rPr>
        <w:tab/>
      </w:r>
      <w:r w:rsidRPr="001B008E">
        <w:rPr>
          <w:u w:color="000000" w:themeColor="text1"/>
        </w:rPr>
        <w:tab/>
      </w:r>
      <w:r w:rsidRPr="001B008E">
        <w:rPr>
          <w:u w:color="000000" w:themeColor="text1"/>
        </w:rPr>
        <w:tab/>
      </w:r>
      <w:r w:rsidRPr="001B008E">
        <w:rPr>
          <w:u w:val="single" w:color="000000" w:themeColor="text1"/>
        </w:rPr>
        <w:t>(a)</w:t>
      </w:r>
      <w:r w:rsidRPr="001B008E">
        <w:rPr>
          <w:u w:color="000000" w:themeColor="text1"/>
        </w:rPr>
        <w:tab/>
      </w:r>
      <w:r w:rsidRPr="001B008E">
        <w:rPr>
          <w:u w:val="single" w:color="000000" w:themeColor="text1"/>
        </w:rPr>
        <w:t>a person convicted of a second or subsequent violation of Section 56</w:t>
      </w:r>
      <w:r w:rsidRPr="001B008E">
        <w:rPr>
          <w:u w:val="single" w:color="000000" w:themeColor="text1"/>
        </w:rPr>
        <w:noBreakHyphen/>
        <w:t>5</w:t>
      </w:r>
      <w:r w:rsidRPr="001B008E">
        <w:rPr>
          <w:u w:val="single" w:color="000000" w:themeColor="text1"/>
        </w:rPr>
        <w:noBreakHyphen/>
        <w:t>2930, 56</w:t>
      </w:r>
      <w:r w:rsidRPr="001B008E">
        <w:rPr>
          <w:u w:val="single" w:color="000000" w:themeColor="text1"/>
        </w:rPr>
        <w:noBreakHyphen/>
        <w:t>5</w:t>
      </w:r>
      <w:r w:rsidRPr="001B008E">
        <w:rPr>
          <w:u w:val="single" w:color="000000" w:themeColor="text1"/>
        </w:rPr>
        <w:noBreakHyphen/>
        <w:t>2933, 56</w:t>
      </w:r>
      <w:r w:rsidRPr="001B008E">
        <w:rPr>
          <w:u w:val="single" w:color="000000" w:themeColor="text1"/>
        </w:rPr>
        <w:noBreakHyphen/>
        <w:t>5</w:t>
      </w:r>
      <w:r w:rsidRPr="001B008E">
        <w:rPr>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B008E">
        <w:rPr>
          <w:u w:color="000000" w:themeColor="text1"/>
        </w:rPr>
        <w:tab/>
      </w:r>
      <w:r w:rsidRPr="001B008E">
        <w:rPr>
          <w:u w:color="000000" w:themeColor="text1"/>
        </w:rPr>
        <w:tab/>
      </w:r>
      <w:r w:rsidRPr="001B008E">
        <w:rPr>
          <w:u w:color="000000" w:themeColor="text1"/>
        </w:rPr>
        <w:tab/>
      </w:r>
      <w:r w:rsidRPr="001B008E">
        <w:rPr>
          <w:u w:val="single" w:color="000000" w:themeColor="text1"/>
        </w:rPr>
        <w:t>(b)</w:t>
      </w:r>
      <w:r w:rsidRPr="001B008E">
        <w:rPr>
          <w:u w:color="000000" w:themeColor="text1"/>
        </w:rPr>
        <w:tab/>
        <w:t xml:space="preserve">a person who is </w:t>
      </w:r>
      <w:r w:rsidRPr="004C2FA9">
        <w:rPr>
          <w:strike/>
          <w:u w:color="000000" w:themeColor="text1"/>
        </w:rPr>
        <w:t>self employed</w:t>
      </w:r>
      <w:r w:rsidRPr="001B008E">
        <w:rPr>
          <w:u w:color="000000" w:themeColor="text1"/>
        </w:rPr>
        <w:t xml:space="preserve"> </w:t>
      </w:r>
      <w:r w:rsidR="004C2FA9">
        <w:rPr>
          <w:u w:val="single"/>
        </w:rPr>
        <w:t>self</w:t>
      </w:r>
      <w:r w:rsidR="004C2FA9">
        <w:rPr>
          <w:u w:val="single"/>
        </w:rPr>
        <w:noBreakHyphen/>
        <w:t>employed</w:t>
      </w:r>
      <w:r w:rsidR="004C2FA9">
        <w:rPr>
          <w:u w:color="000000" w:themeColor="text1"/>
        </w:rPr>
        <w:t xml:space="preserve"> </w:t>
      </w:r>
      <w:r w:rsidRPr="001B008E">
        <w:rPr>
          <w:u w:color="000000" w:themeColor="text1"/>
        </w:rPr>
        <w:t>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B008E">
        <w:rPr>
          <w:u w:color="000000" w:themeColor="text1"/>
        </w:rPr>
        <w:tab/>
      </w:r>
      <w:r w:rsidRPr="001B008E">
        <w:rPr>
          <w:u w:color="000000" w:themeColor="text1"/>
        </w:rPr>
        <w:tab/>
      </w:r>
      <w:r w:rsidRPr="001B008E">
        <w:rPr>
          <w:strike/>
          <w:u w:color="000000" w:themeColor="text1"/>
        </w:rPr>
        <w:t>(2)</w:t>
      </w:r>
      <w:r w:rsidRPr="001B008E">
        <w:rPr>
          <w:u w:val="single" w:color="000000" w:themeColor="text1"/>
        </w:rPr>
        <w:t>(3)</w:t>
      </w:r>
      <w:r w:rsidRPr="001B008E">
        <w:rPr>
          <w:u w:color="000000" w:themeColor="text1"/>
        </w:rPr>
        <w:tab/>
        <w:t>Whenever the person operates the employer’s vehicle pursuant to this subsection, the person shall have with the person a copy of the Department of Motor Vehicles’ form specified by Section 56</w:t>
      </w:r>
      <w:r w:rsidRPr="001B008E">
        <w:rPr>
          <w:u w:color="000000" w:themeColor="text1"/>
        </w:rPr>
        <w:noBreakHyphen/>
        <w:t>1</w:t>
      </w:r>
      <w:r w:rsidRPr="001B008E">
        <w:rPr>
          <w:u w:color="000000" w:themeColor="text1"/>
        </w:rPr>
        <w:noBreakHyphen/>
        <w:t>400(B).</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rPr>
          <w:u w:color="000000" w:themeColor="text1"/>
        </w:rPr>
        <w:tab/>
      </w:r>
      <w:r w:rsidRPr="001B008E">
        <w:rPr>
          <w:u w:color="000000" w:themeColor="text1"/>
        </w:rPr>
        <w:tab/>
      </w:r>
      <w:r w:rsidRPr="001B008E">
        <w:rPr>
          <w:strike/>
          <w:u w:color="000000" w:themeColor="text1"/>
        </w:rPr>
        <w:t>(3)</w:t>
      </w:r>
      <w:r w:rsidRPr="001B008E">
        <w:rPr>
          <w:u w:val="single" w:color="000000" w:themeColor="text1"/>
        </w:rPr>
        <w:t>(4)</w:t>
      </w:r>
      <w:r w:rsidRPr="001B008E">
        <w:rPr>
          <w:u w:color="000000" w:themeColor="text1"/>
        </w:rPr>
        <w:tab/>
        <w:t>This subsection will be construed in parallel with the requirements of Section 56</w:t>
      </w:r>
      <w:r w:rsidRPr="001B008E">
        <w:rPr>
          <w:u w:color="000000" w:themeColor="text1"/>
        </w:rPr>
        <w:noBreakHyphen/>
        <w:t>1</w:t>
      </w:r>
      <w:r w:rsidRPr="001B008E">
        <w:rPr>
          <w:u w:color="000000" w:themeColor="text1"/>
        </w:rPr>
        <w:noBreakHyphen/>
        <w:t>400(B). A waiver issued pursuant to this subsection will be subject to the same review and revocation as described in Section 56</w:t>
      </w:r>
      <w:r w:rsidRPr="001B008E">
        <w:rPr>
          <w:u w:color="000000" w:themeColor="text1"/>
        </w:rPr>
        <w:noBreakHyphen/>
        <w:t>1</w:t>
      </w:r>
      <w:r w:rsidRPr="001B008E">
        <w:rPr>
          <w:u w:color="000000" w:themeColor="text1"/>
        </w:rPr>
        <w:noBreakHyphen/>
        <w:t>400(B).</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(M)</w:t>
      </w:r>
      <w:r w:rsidRPr="001B008E">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lastRenderedPageBreak/>
        <w:tab/>
        <w:t>(N)</w:t>
      </w:r>
      <w:r w:rsidRPr="001B008E">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person’s arrest for a first offense violation of Section 56</w:t>
      </w:r>
      <w:r w:rsidRPr="001B008E">
        <w:noBreakHyphen/>
        <w:t>5</w:t>
      </w:r>
      <w:r w:rsidRPr="001B008E">
        <w:noBreakHyphen/>
        <w:t>2930 or Section 56</w:t>
      </w:r>
      <w:r w:rsidRPr="001B008E">
        <w:noBreakHyphen/>
        <w:t>5</w:t>
      </w:r>
      <w:r w:rsidRPr="001B008E">
        <w:noBreakHyphen/>
        <w:t>2933. A person who violates this subsection is guilty of a misdemeanor, and, upon conviction, must be fined not more than five hundred dollars or imprisoned not more than thirty days, or both.</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(O)</w:t>
      </w:r>
      <w:r w:rsidRPr="001B008E">
        <w:tab/>
        <w:t xml:space="preserve">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w:t>
      </w:r>
      <w:r w:rsidRPr="001B008E">
        <w:rPr>
          <w:u w:val="single"/>
        </w:rPr>
        <w:t>or to conduct a running retest while the vehicle is in operation</w:t>
      </w:r>
      <w:r w:rsidRPr="001B008E">
        <w:t>. A person who violates this subsection is guilty of a misdemeanor, and, upon conviction, must be fined not more than five hundred dollars or imprisoned not more than thirty days, or both.</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(P)</w:t>
      </w:r>
      <w:r w:rsidRPr="001B008E">
        <w:tab/>
        <w:t xml:space="preserve">It is unlawful for another person </w:t>
      </w:r>
      <w:r w:rsidRPr="001B008E">
        <w:rPr>
          <w:u w:val="single"/>
        </w:rPr>
        <w:t>on behalf of a person subject to the provisions of this section</w:t>
      </w:r>
      <w:r w:rsidRPr="001B008E">
        <w:t xml:space="preserve"> to engage an ignition interlock device to start a motor vehicle with a device installed pursuant to this section </w:t>
      </w:r>
      <w:r w:rsidRPr="001B008E">
        <w:rPr>
          <w:u w:val="single"/>
        </w:rPr>
        <w:t>or to conduct a running retest while that vehicle is in operation</w:t>
      </w:r>
      <w:r w:rsidRPr="001B008E">
        <w:t>. A person who violates this subsection is guilty of a misdemeanor, and, upon conviction, must be fined not more than five hundred dollars or imprisoned not more than thirty days, or both.</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(Q)</w:t>
      </w:r>
      <w:r w:rsidRPr="001B008E">
        <w:tab/>
        <w:t>Only ignition interlock devices certified by the Department of Probation, Parole and Pardon Services may be used to fulfill the requirements of this section.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(1)</w:t>
      </w:r>
      <w:r w:rsidRPr="001B008E">
        <w:tab/>
        <w:t>The Department of Probation, Parole and Pardon Services shall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1B008E">
        <w:noBreakHyphen/>
        <w:t>hundredths of one percent or more is measured and all running retests must record violations of an alcohol concentration of two one</w:t>
      </w:r>
      <w:r w:rsidRPr="001B008E">
        <w:noBreakHyphen/>
        <w:t xml:space="preserve">hundredths of one percent or more, and must capture a photographic image of the driver as the driver is operating the ignition interlock device. The photographic images recorded by the ignition interlock device may be used by the </w:t>
      </w:r>
      <w:r w:rsidRPr="001B008E">
        <w:lastRenderedPageBreak/>
        <w:t>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(2)</w:t>
      </w:r>
      <w:r w:rsidRPr="001B008E">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(3)</w:t>
      </w:r>
      <w:r w:rsidRPr="001B008E">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(R)</w:t>
      </w:r>
      <w:r w:rsidRPr="001B008E">
        <w:tab/>
        <w:t xml:space="preserve">In addition to availability under the Freedom of Information Act, any Department of Probation, Parole and Pardon Services policy concerning ignition interlock devices must be made publicly accessible on the Department of Probation, Parole and Pardon Services’ Internet website. 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w:t>
      </w:r>
      <w:r w:rsidRPr="001B008E">
        <w:rPr>
          <w:u w:val="single" w:color="000000" w:themeColor="text1"/>
        </w:rPr>
        <w:t xml:space="preserve">The Department of Probation, Parole and Pardon Services and ignition interlock service providers must purge all photographic images collected by the device no later than twelve months from the date of the person’s </w:t>
      </w:r>
      <w:r w:rsidRPr="001B008E">
        <w:rPr>
          <w:u w:val="single" w:color="000000" w:themeColor="text1"/>
        </w:rPr>
        <w:lastRenderedPageBreak/>
        <w:t>completion of the Ignition Interlock Device Program. The Department of Probation, Parole and Pardon Services may retain the images past twelve months if there are any pending appeals or contested case hearings involved with that person, and at their conclusion must purge the images.</w:t>
      </w:r>
      <w:r w:rsidRPr="001B008E">
        <w:rPr>
          <w:u w:color="000000" w:themeColor="text1"/>
        </w:rPr>
        <w:t xml:space="preserve">  </w:t>
      </w:r>
      <w:r w:rsidRPr="001B008E">
        <w:t xml:space="preserve">The Department of Probation, Parole and Pardon Services and ignition interlock service providers </w:t>
      </w:r>
      <w:r w:rsidRPr="001B008E">
        <w:rPr>
          <w:strike/>
        </w:rPr>
        <w:t>may retain</w:t>
      </w:r>
      <w:r w:rsidRPr="001B008E">
        <w:t xml:space="preserve"> </w:t>
      </w:r>
      <w:r w:rsidRPr="001B008E">
        <w:rPr>
          <w:u w:val="single"/>
        </w:rPr>
        <w:t>must purge all personal</w:t>
      </w:r>
      <w:r w:rsidRPr="001B008E">
        <w:t xml:space="preserve"> information regarding a person’s participation in the Ignition Interlock Device Program </w:t>
      </w:r>
      <w:r w:rsidRPr="001B008E">
        <w:rPr>
          <w:strike/>
        </w:rPr>
        <w:t>for a period not to exceed eighteen</w:t>
      </w:r>
      <w:r w:rsidRPr="001B008E">
        <w:t xml:space="preserve"> </w:t>
      </w:r>
      <w:r w:rsidRPr="001B008E">
        <w:rPr>
          <w:u w:val="single"/>
        </w:rPr>
        <w:t>no later than twelve</w:t>
      </w:r>
      <w:r w:rsidRPr="001B008E">
        <w:t xml:space="preserve"> months from the date of the person’s completion of the Ignition Interlock Device Program </w:t>
      </w:r>
      <w:r w:rsidRPr="001B008E">
        <w:rPr>
          <w:u w:val="single"/>
        </w:rPr>
        <w:t>except for that information which is relevant for pending legal matters</w:t>
      </w:r>
      <w:r w:rsidRPr="001B008E">
        <w: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B008E">
        <w:tab/>
        <w:t>(S)</w:t>
      </w:r>
      <w:r w:rsidRPr="001B008E">
        <w:tab/>
        <w:t>The Department of Probation, Parole and Pardon Services shall develop policies including, but not limited to, the certification, use, maintenance, and operation of ignition interlock devices and the Ignition Interlock Device Fund.</w:t>
      </w:r>
      <w:r w:rsidRPr="001B008E">
        <w:rPr>
          <w:rFonts w:eastAsia="Times New Roman"/>
          <w:szCs w:val="20"/>
        </w:rPr>
        <w:t xml:space="preserve"> </w:t>
      </w:r>
    </w:p>
    <w:p w:rsidR="00B87612" w:rsidRPr="002E35C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008E">
        <w:rPr>
          <w:rFonts w:eastAsia="Times New Roman"/>
          <w:szCs w:val="20"/>
        </w:rPr>
        <w:tab/>
      </w:r>
      <w:r w:rsidRPr="001B008E">
        <w:rPr>
          <w:rFonts w:eastAsia="Times New Roman"/>
          <w:szCs w:val="20"/>
          <w:u w:val="single"/>
        </w:rPr>
        <w:t>(T)</w:t>
      </w:r>
      <w:r w:rsidRPr="001B008E">
        <w:rPr>
          <w:rFonts w:eastAsia="Times New Roman"/>
          <w:szCs w:val="20"/>
        </w:rPr>
        <w:tab/>
      </w:r>
      <w:r w:rsidRPr="001B008E">
        <w:rPr>
          <w:rFonts w:eastAsia="Times New Roman"/>
          <w:szCs w:val="20"/>
          <w:u w:val="single"/>
        </w:rPr>
        <w:t>This section shall apply retroactively to any person currently serving a suspension or denial of the issuance of a license or permit due to a suspension listed in subsection (A).</w:t>
      </w:r>
      <w:r>
        <w:rPr>
          <w:rFonts w:eastAsia="Times New Roman"/>
          <w:szCs w:val="20"/>
        </w:rPr>
        <w:t>”</w:t>
      </w:r>
    </w:p>
    <w:p w:rsidR="00B87612" w:rsidRDefault="00B8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Pr="00522CE0"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35CE">
        <w:rPr>
          <w:rFonts w:eastAsia="Times New Roman"/>
        </w:rPr>
        <w:t>4</w:t>
      </w:r>
      <w:r>
        <w:rPr>
          <w:rFonts w:eastAsia="Times New Roman"/>
        </w:rPr>
        <w:t>.</w:t>
      </w:r>
      <w:r>
        <w:rPr>
          <w:rFonts w:eastAsia="Times New Roman"/>
        </w:rPr>
        <w:tab/>
        <w:t>This act takes effect upon approval by the Governor.</w:t>
      </w:r>
    </w:p>
    <w:p w:rsidR="007635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711C9" w:rsidRDefault="00E711C9" w:rsidP="00E711C9">
      <w:pPr>
        <w:suppressAutoHyphens/>
        <w:jc w:val="both"/>
        <w:rPr>
          <w:rFonts w:eastAsia="Times New Roman"/>
        </w:rPr>
      </w:pPr>
    </w:p>
    <w:sectPr w:rsidR="00E711C9" w:rsidSect="006A5A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927" w:rsidRDefault="00AB0927" w:rsidP="00522CE0">
      <w:r>
        <w:separator/>
      </w:r>
    </w:p>
  </w:endnote>
  <w:endnote w:type="continuationSeparator" w:id="0">
    <w:p w:rsidR="00AB0927" w:rsidRDefault="00AB0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5F3BF4-3F62-4527-833A-0E6B53FA82B3}"/>
    <w:embedBold r:id="rId2" w:fontKey="{D6361E8E-B41B-483B-AE1F-F2DA22E048C9}"/>
  </w:font>
  <w:font w:name="Calibri">
    <w:panose1 w:val="020F0502020204030204"/>
    <w:charset w:val="00"/>
    <w:family w:val="swiss"/>
    <w:pitch w:val="variable"/>
    <w:sig w:usb0="E10002FF" w:usb1="4000ACFF" w:usb2="00000009" w:usb3="00000000" w:csb0="0000019F" w:csb1="00000000"/>
    <w:embedRegular r:id="rId3" w:fontKey="{974F00A4-1853-4E84-9A52-1AEACD64A24E}"/>
  </w:font>
  <w:font w:name="Segoe UI">
    <w:panose1 w:val="020B0502040204020203"/>
    <w:charset w:val="00"/>
    <w:family w:val="swiss"/>
    <w:pitch w:val="variable"/>
    <w:sig w:usb0="E10022FF" w:usb1="C000E47F" w:usb2="00000029" w:usb3="00000000" w:csb0="000001DF" w:csb1="00000000"/>
    <w:embedRegular r:id="rId4" w:fontKey="{6B62E86B-BE2E-4F59-AC95-852D8E712BA0}"/>
  </w:font>
  <w:font w:name="Cambria">
    <w:panose1 w:val="02040503050406030204"/>
    <w:charset w:val="00"/>
    <w:family w:val="roman"/>
    <w:pitch w:val="variable"/>
    <w:sig w:usb0="E00002FF" w:usb1="400004FF" w:usb2="00000000" w:usb3="00000000" w:csb0="0000019F" w:csb1="00000000"/>
    <w:embedRegular r:id="rId5" w:fontKey="{4C0E7538-3ACB-4431-A18E-09980660D9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927" w:rsidRPr="007A3548" w:rsidRDefault="00AB0927" w:rsidP="007A3548">
    <w:pPr>
      <w:pStyle w:val="Footer"/>
      <w:tabs>
        <w:tab w:val="clear" w:pos="4680"/>
        <w:tab w:val="clear" w:pos="9360"/>
        <w:tab w:val="center" w:pos="2995"/>
      </w:tabs>
      <w:spacing w:before="120"/>
    </w:pPr>
    <w:r>
      <w:t>[590-</w:t>
    </w:r>
    <w:r>
      <w:fldChar w:fldCharType="begin"/>
    </w:r>
    <w:r>
      <w:instrText xml:space="preserve"> PAGE  \* MERGEFORMAT </w:instrText>
    </w:r>
    <w:r>
      <w:fldChar w:fldCharType="separate"/>
    </w:r>
    <w:r w:rsidR="00E711C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927" w:rsidRPr="007A3548" w:rsidRDefault="00AB0927" w:rsidP="007A3548">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sidR="00E711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927" w:rsidRDefault="00AB0927" w:rsidP="00522CE0">
      <w:r>
        <w:separator/>
      </w:r>
    </w:p>
  </w:footnote>
  <w:footnote w:type="continuationSeparator" w:id="0">
    <w:p w:rsidR="00AB0927" w:rsidRDefault="00AB0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1.JJG"/>
    <w:docVar w:name="CoverAttorneyInitials" w:val="JJG"/>
    <w:docVar w:name="CoverAttorneyLastName" w:val="Gentry"/>
    <w:docVar w:name="CoverBillType" w:val="b"/>
    <w:docVar w:name="DraftFileName" w:val="JUD0061.JJG.DOCX"/>
    <w:docVar w:name="DraftStenoName" w:val="Knipp"/>
    <w:docVar w:name="dvBillNumber" w:val="590"/>
    <w:docVar w:name="dvBillNumberPrefix" w:val="S. "/>
    <w:docVar w:name="dvOriginalBody" w:val="Senate"/>
    <w:docVar w:name="fulldraftpath" w:val="L:\S-JUD\BILLS\L. Martin\JUD0061.JJG.DOCX"/>
    <w:docVar w:name="NameofBody" w:val="S"/>
    <w:docVar w:name="SenatorFolderName" w:val="L. Martin"/>
    <w:docVar w:name="VGROUP2" w:val="S-JUD"/>
  </w:docVars>
  <w:rsids>
    <w:rsidRoot w:val="002A22BA"/>
    <w:rsid w:val="000141EB"/>
    <w:rsid w:val="00042AC1"/>
    <w:rsid w:val="00046516"/>
    <w:rsid w:val="00064D4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A22BA"/>
    <w:rsid w:val="002C5896"/>
    <w:rsid w:val="002E35CE"/>
    <w:rsid w:val="00307C2B"/>
    <w:rsid w:val="0031409E"/>
    <w:rsid w:val="0032109A"/>
    <w:rsid w:val="0033316C"/>
    <w:rsid w:val="00333DF1"/>
    <w:rsid w:val="0033541C"/>
    <w:rsid w:val="00364389"/>
    <w:rsid w:val="003D6A5D"/>
    <w:rsid w:val="003D6E2B"/>
    <w:rsid w:val="003E7597"/>
    <w:rsid w:val="00412C9E"/>
    <w:rsid w:val="0042257B"/>
    <w:rsid w:val="004458AF"/>
    <w:rsid w:val="00450668"/>
    <w:rsid w:val="00452CD7"/>
    <w:rsid w:val="00477696"/>
    <w:rsid w:val="004952FA"/>
    <w:rsid w:val="004A05F7"/>
    <w:rsid w:val="004A592F"/>
    <w:rsid w:val="004B6A22"/>
    <w:rsid w:val="004C2918"/>
    <w:rsid w:val="004C2FA9"/>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A59"/>
    <w:rsid w:val="005F15E4"/>
    <w:rsid w:val="00600221"/>
    <w:rsid w:val="00606D23"/>
    <w:rsid w:val="0062372C"/>
    <w:rsid w:val="00641A16"/>
    <w:rsid w:val="006431BA"/>
    <w:rsid w:val="006526D4"/>
    <w:rsid w:val="006A5ABD"/>
    <w:rsid w:val="006B4B3C"/>
    <w:rsid w:val="006C74EA"/>
    <w:rsid w:val="006E396D"/>
    <w:rsid w:val="00720D40"/>
    <w:rsid w:val="0073026D"/>
    <w:rsid w:val="007311B4"/>
    <w:rsid w:val="007318D4"/>
    <w:rsid w:val="00746551"/>
    <w:rsid w:val="0076352E"/>
    <w:rsid w:val="00765784"/>
    <w:rsid w:val="00794110"/>
    <w:rsid w:val="007A3548"/>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2545"/>
    <w:rsid w:val="00A86015"/>
    <w:rsid w:val="00AB0927"/>
    <w:rsid w:val="00AE59C8"/>
    <w:rsid w:val="00B030B6"/>
    <w:rsid w:val="00B10098"/>
    <w:rsid w:val="00B10E10"/>
    <w:rsid w:val="00B35389"/>
    <w:rsid w:val="00B43327"/>
    <w:rsid w:val="00B450FF"/>
    <w:rsid w:val="00B47304"/>
    <w:rsid w:val="00B66C95"/>
    <w:rsid w:val="00B67A46"/>
    <w:rsid w:val="00B75B6C"/>
    <w:rsid w:val="00B87612"/>
    <w:rsid w:val="00B945C5"/>
    <w:rsid w:val="00BA20EA"/>
    <w:rsid w:val="00BB754E"/>
    <w:rsid w:val="00BC0A56"/>
    <w:rsid w:val="00C15CAF"/>
    <w:rsid w:val="00C23348"/>
    <w:rsid w:val="00C6454A"/>
    <w:rsid w:val="00C74052"/>
    <w:rsid w:val="00CB187A"/>
    <w:rsid w:val="00CD1843"/>
    <w:rsid w:val="00CD7C71"/>
    <w:rsid w:val="00D1088B"/>
    <w:rsid w:val="00D156D2"/>
    <w:rsid w:val="00D77EC0"/>
    <w:rsid w:val="00D86943"/>
    <w:rsid w:val="00DA47B9"/>
    <w:rsid w:val="00DF7731"/>
    <w:rsid w:val="00E57EF7"/>
    <w:rsid w:val="00E677A1"/>
    <w:rsid w:val="00E711C9"/>
    <w:rsid w:val="00E91E2F"/>
    <w:rsid w:val="00EA3546"/>
    <w:rsid w:val="00EB1AAC"/>
    <w:rsid w:val="00EB47AE"/>
    <w:rsid w:val="00EC34E1"/>
    <w:rsid w:val="00ED0AE1"/>
    <w:rsid w:val="00EF7B66"/>
    <w:rsid w:val="00F0234A"/>
    <w:rsid w:val="00F3041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BCE51C9-361F-4F10-89BE-E9D5CE9D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AB09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27"/>
    <w:rPr>
      <w:rFonts w:ascii="Segoe UI" w:hAnsi="Segoe UI" w:cs="Segoe UI"/>
      <w:sz w:val="18"/>
      <w:szCs w:val="18"/>
    </w:rPr>
  </w:style>
  <w:style w:type="paragraph" w:styleId="NoSpacing">
    <w:name w:val="No Spacing"/>
    <w:uiPriority w:val="1"/>
    <w:qFormat/>
    <w:rsid w:val="00AB092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339B8-CA44-425C-8BD0-A09E7BC30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7A80796D.dotm</Template>
  <TotalTime>0</TotalTime>
  <Pages>14</Pages>
  <Words>5009</Words>
  <Characters>25990</Characters>
  <Application>Microsoft Office Word</Application>
  <DocSecurity>0</DocSecurity>
  <Lines>561</Lines>
  <Paragraphs>83</Paragraphs>
  <ScaleCrop>false</ScaleCrop>
  <HeadingPairs>
    <vt:vector size="2" baseType="variant">
      <vt:variant>
        <vt:lpstr>Title</vt:lpstr>
      </vt:variant>
      <vt:variant>
        <vt:i4>1</vt:i4>
      </vt:variant>
    </vt:vector>
  </HeadingPairs>
  <TitlesOfParts>
    <vt:vector size="1" baseType="lpstr">
      <vt:lpstr>2015-2016 Bill 590 Text of Previous Version (Mar. 24, 2015) - South Carolina Legislature Online</vt:lpstr>
    </vt:vector>
  </TitlesOfParts>
  <Company> </Company>
  <LinksUpToDate>false</LinksUpToDate>
  <CharactersWithSpaces>31066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590 Text of Previous Version (May 20, 2015) - South Carolina Legislature Online</dc:title>
  <dc:subject/>
  <dc:creator>LindseyKnipp</dc:creator>
  <cp:keywords/>
  <dc:description/>
  <cp:lastModifiedBy>Angela Hopkins</cp:lastModifiedBy>
  <cp:revision>2</cp:revision>
  <cp:lastPrinted>2015-05-13T18:47:00Z</cp:lastPrinted>
  <dcterms:created xsi:type="dcterms:W3CDTF">2015-05-20T15:24:00Z</dcterms:created>
  <dcterms:modified xsi:type="dcterms:W3CDTF">2015-05-20T15:24:00Z</dcterms:modified>
</cp:coreProperties>
</file>