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792"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57657" w:rsidRP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3, 2016</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7657" w:rsidRPr="00357657" w:rsidRDefault="00357657" w:rsidP="00357657">
      <w:pPr>
        <w:tabs>
          <w:tab w:val="right" w:pos="5933"/>
        </w:tabs>
      </w:pPr>
      <w:r>
        <w:tab/>
      </w:r>
      <w:r>
        <w:rPr>
          <w:b/>
          <w:sz w:val="36"/>
        </w:rPr>
        <w:t>S. 788</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7657" w:rsidRDefault="00357657" w:rsidP="0035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A34DE">
        <w:t>Senator Campsen</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5/3/16--H.</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March 3, 2016.</w:t>
      </w:r>
    </w:p>
    <w:p w:rsidR="00357657" w:rsidRPr="00357657" w:rsidRDefault="00357657" w:rsidP="00357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7657" w:rsidRDefault="00357657" w:rsidP="0036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57657" w:rsidSect="00683C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1E99" w:rsidRDefault="00A11E9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3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A1641">
        <w:rPr>
          <w:color w:val="000000" w:themeColor="text1"/>
          <w:u w:color="000000" w:themeColor="text1"/>
        </w:rPr>
        <w:t>TO AMEND 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 AS AMENDED, CODE OF LAWS OF SOUTH CAROLINA, 1976, RELATING TO THE APPROVAL OF PERMITS TO ALTER CRITICAL AREAS, SO AS TO</w:t>
      </w:r>
      <w:r>
        <w:rPr>
          <w:color w:val="000000" w:themeColor="text1"/>
          <w:u w:color="000000" w:themeColor="text1"/>
        </w:rPr>
        <w:t xml:space="preserve"> ENACT THE “MANAGED TIDAL IMPOUNDMENT PRESERVATION ACT”, BY</w:t>
      </w:r>
      <w:r w:rsidRPr="00FA1641">
        <w:rPr>
          <w:color w:val="000000" w:themeColor="text1"/>
          <w:u w:color="000000" w:themeColor="text1"/>
        </w:rPr>
        <w:t xml:space="preserve"> EXEMPT</w:t>
      </w:r>
      <w:r>
        <w:rPr>
          <w:color w:val="000000" w:themeColor="text1"/>
          <w:u w:color="000000" w:themeColor="text1"/>
        </w:rPr>
        <w:t>ING</w:t>
      </w:r>
      <w:r w:rsidRPr="00FA1641">
        <w:rPr>
          <w:color w:val="000000" w:themeColor="text1"/>
          <w:u w:color="000000" w:themeColor="text1"/>
        </w:rPr>
        <w:t xml:space="preserve"> PROPERTY THAT IS DEEMED ELIGIBLE UNDER A U</w:t>
      </w:r>
      <w:r>
        <w:rPr>
          <w:color w:val="000000" w:themeColor="text1"/>
          <w:u w:color="000000" w:themeColor="text1"/>
        </w:rPr>
        <w:t xml:space="preserve">NITED </w:t>
      </w:r>
      <w:r w:rsidRPr="00FA1641">
        <w:rPr>
          <w:color w:val="000000" w:themeColor="text1"/>
          <w:u w:color="000000" w:themeColor="text1"/>
        </w:rPr>
        <w:t>S</w:t>
      </w:r>
      <w:r>
        <w:rPr>
          <w:color w:val="000000" w:themeColor="text1"/>
          <w:u w:color="000000" w:themeColor="text1"/>
        </w:rPr>
        <w:t>TATES</w:t>
      </w:r>
      <w:r w:rsidRPr="00FA1641">
        <w:rPr>
          <w:color w:val="000000" w:themeColor="text1"/>
          <w:u w:color="000000" w:themeColor="text1"/>
        </w:rPr>
        <w:t xml:space="preserve"> ARMY CORP OF ENGINEERS</w:t>
      </w:r>
      <w:r w:rsidR="000C1914" w:rsidRPr="000C1914">
        <w:rPr>
          <w:color w:val="000000" w:themeColor="text1"/>
          <w:u w:color="000000" w:themeColor="text1"/>
        </w:rPr>
        <w:t>’</w:t>
      </w:r>
      <w:r w:rsidRPr="00FA1641">
        <w:rPr>
          <w:color w:val="000000" w:themeColor="text1"/>
          <w:u w:color="000000" w:themeColor="text1"/>
        </w:rPr>
        <w:t xml:space="preserve"> GENERAL PERMIT FROM PERMITTING REQUIREMENTS IN CERTAIN CIRCUMSTANCES AND </w:t>
      </w:r>
      <w:r>
        <w:rPr>
          <w:color w:val="000000" w:themeColor="text1"/>
          <w:u w:color="000000" w:themeColor="text1"/>
        </w:rPr>
        <w:t>GRANTING</w:t>
      </w:r>
      <w:r w:rsidRPr="00FA1641">
        <w:rPr>
          <w:color w:val="000000" w:themeColor="text1"/>
          <w:u w:color="000000" w:themeColor="text1"/>
        </w:rPr>
        <w:t xml:space="preserve"> ENFORC</w:t>
      </w:r>
      <w:r>
        <w:rPr>
          <w:color w:val="000000" w:themeColor="text1"/>
          <w:u w:color="000000" w:themeColor="text1"/>
        </w:rPr>
        <w:t>EMENT</w:t>
      </w:r>
      <w:r w:rsidRPr="00FA1641">
        <w:rPr>
          <w:color w:val="000000" w:themeColor="text1"/>
          <w:u w:color="000000" w:themeColor="text1"/>
        </w:rPr>
        <w:t xml:space="preserve"> AUTHORITY TO THE COASTAL DIVISION OF THE SOUTH CAROLINA DEPARTMENT OF HEALTH AND ENVIRONMENTAL CONTROL. </w:t>
      </w:r>
      <w:bookmarkEnd w:id="1"/>
    </w:p>
    <w:p w:rsidR="0036111E" w:rsidRDefault="0035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57657" w:rsidRDefault="003576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46C" w:rsidRDefault="00933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1.</w:t>
      </w:r>
      <w:r>
        <w:rPr>
          <w:color w:val="000000" w:themeColor="text1"/>
          <w:u w:color="000000" w:themeColor="text1"/>
        </w:rPr>
        <w:tab/>
      </w:r>
      <w:r w:rsidRPr="00FA1641">
        <w:rPr>
          <w:color w:val="000000" w:themeColor="text1"/>
          <w:u w:color="000000" w:themeColor="text1"/>
        </w:rPr>
        <w:t>This act must be known and may be cited as the “Managed Ti</w:t>
      </w:r>
      <w:r>
        <w:rPr>
          <w:color w:val="000000" w:themeColor="text1"/>
          <w:u w:color="000000" w:themeColor="text1"/>
        </w:rPr>
        <w:t>dal</w:t>
      </w:r>
      <w:r w:rsidRPr="00FA1641">
        <w:rPr>
          <w:color w:val="000000" w:themeColor="text1"/>
          <w:u w:color="000000" w:themeColor="text1"/>
        </w:rPr>
        <w:t xml:space="preserve"> Impoundment Preservation Act”.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A1641">
        <w:rPr>
          <w:color w:val="000000" w:themeColor="text1"/>
          <w:u w:color="000000" w:themeColor="text1"/>
        </w:rPr>
        <w:t>2.</w:t>
      </w:r>
      <w:r>
        <w:rPr>
          <w:color w:val="000000" w:themeColor="text1"/>
          <w:u w:color="000000" w:themeColor="text1"/>
        </w:rPr>
        <w:tab/>
      </w:r>
      <w:r w:rsidRPr="00FA1641">
        <w:rPr>
          <w:color w:val="000000" w:themeColor="text1"/>
          <w:u w:color="000000" w:themeColor="text1"/>
        </w:rPr>
        <w:t>Section 48</w:t>
      </w:r>
      <w:r w:rsidR="000C1914">
        <w:rPr>
          <w:color w:val="000000" w:themeColor="text1"/>
          <w:u w:color="000000" w:themeColor="text1"/>
        </w:rPr>
        <w:noBreakHyphen/>
      </w:r>
      <w:r w:rsidRPr="00FA1641">
        <w:rPr>
          <w:color w:val="000000" w:themeColor="text1"/>
          <w:u w:color="000000" w:themeColor="text1"/>
        </w:rPr>
        <w:t>39</w:t>
      </w:r>
      <w:r w:rsidR="000C1914">
        <w:rPr>
          <w:color w:val="000000" w:themeColor="text1"/>
          <w:u w:color="000000" w:themeColor="text1"/>
        </w:rPr>
        <w:noBreakHyphen/>
      </w:r>
      <w:r w:rsidRPr="00FA1641">
        <w:rPr>
          <w:color w:val="000000" w:themeColor="text1"/>
          <w:u w:color="000000" w:themeColor="text1"/>
        </w:rPr>
        <w:t>150</w:t>
      </w:r>
      <w:r>
        <w:rPr>
          <w:color w:val="000000" w:themeColor="text1"/>
          <w:u w:color="000000" w:themeColor="text1"/>
        </w:rPr>
        <w:t xml:space="preserve"> of the 1976 Code</w:t>
      </w:r>
      <w:r w:rsidRPr="00FA1641">
        <w:rPr>
          <w:color w:val="000000" w:themeColor="text1"/>
          <w:u w:color="000000" w:themeColor="text1"/>
        </w:rPr>
        <w:t>, as last amended by Act 41 of 2011, is further amended by adding a</w:t>
      </w:r>
      <w:r>
        <w:rPr>
          <w:color w:val="000000" w:themeColor="text1"/>
          <w:u w:color="000000" w:themeColor="text1"/>
        </w:rPr>
        <w:t>n</w:t>
      </w:r>
      <w:r w:rsidRPr="00FA1641">
        <w:rPr>
          <w:color w:val="000000" w:themeColor="text1"/>
          <w:u w:color="000000" w:themeColor="text1"/>
        </w:rPr>
        <w:t xml:space="preserve"> </w:t>
      </w:r>
      <w:r>
        <w:rPr>
          <w:color w:val="000000" w:themeColor="text1"/>
          <w:u w:color="000000" w:themeColor="text1"/>
        </w:rPr>
        <w:t xml:space="preserve">appropriately lettered </w:t>
      </w:r>
      <w:r w:rsidRPr="00FA1641">
        <w:rPr>
          <w:color w:val="000000" w:themeColor="text1"/>
          <w:u w:color="000000" w:themeColor="text1"/>
        </w:rPr>
        <w:t xml:space="preserve">subsection to read: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596E">
        <w:rPr>
          <w:color w:val="000000" w:themeColor="text1"/>
          <w:u w:color="000000" w:themeColor="text1"/>
        </w:rPr>
        <w:t>“(  )(1)</w:t>
      </w:r>
      <w:r w:rsidRPr="009D596E">
        <w:rPr>
          <w:color w:val="000000" w:themeColor="text1"/>
          <w:u w:color="000000" w:themeColor="text1"/>
        </w:rPr>
        <w:tab/>
        <w:t>A property that is deemed eligible under a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is exempt from the permitting requirements set forth in this chapter for routine, normal, or emergency maintenance or repair activities pursuant to the general permit within currently functioning: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(a)</w:t>
      </w:r>
      <w:r w:rsidRPr="009D596E">
        <w:rPr>
          <w:color w:val="000000" w:themeColor="text1"/>
          <w:u w:color="000000" w:themeColor="text1"/>
        </w:rPr>
        <w:tab/>
        <w:t xml:space="preserve">tidal impoundment fields located in tidal navigable waters of the United States, as the term is used in Section 10 of the Rivers and Harbors Act of 1899; or </w:t>
      </w:r>
    </w:p>
    <w:p w:rsidR="009B30D8" w:rsidRPr="009D596E"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596E">
        <w:rPr>
          <w:color w:val="000000" w:themeColor="text1"/>
          <w:u w:color="000000" w:themeColor="text1"/>
        </w:rPr>
        <w:tab/>
      </w:r>
      <w:r w:rsidRPr="009D596E">
        <w:rPr>
          <w:color w:val="000000" w:themeColor="text1"/>
          <w:u w:color="000000" w:themeColor="text1"/>
        </w:rPr>
        <w:tab/>
      </w:r>
      <w:r w:rsidRPr="009D596E">
        <w:rPr>
          <w:color w:val="000000" w:themeColor="text1"/>
          <w:u w:color="000000" w:themeColor="text1"/>
        </w:rPr>
        <w:tab/>
        <w:t>(b)</w:t>
      </w:r>
      <w:r w:rsidRPr="009D596E">
        <w:rPr>
          <w:color w:val="000000" w:themeColor="text1"/>
          <w:u w:color="000000" w:themeColor="text1"/>
        </w:rPr>
        <w:tab/>
        <w:t>adjacent nontidal field</w:t>
      </w:r>
      <w:r>
        <w:rPr>
          <w:color w:val="000000" w:themeColor="text1"/>
          <w:u w:color="000000" w:themeColor="text1"/>
        </w:rPr>
        <w:t>s</w:t>
      </w:r>
      <w:r w:rsidRPr="009D596E">
        <w:rPr>
          <w:color w:val="000000" w:themeColor="text1"/>
          <w:u w:color="000000" w:themeColor="text1"/>
        </w:rPr>
        <w:t xml:space="preserve"> that rely on the outgoing tide to drain, where the water regimes of the fields are currently being manipulated for wildlife management or where the fields have all of the necessary embankments and structures in place to allow for the manipulation of the water regimes for wildlife management. </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596E">
        <w:rPr>
          <w:color w:val="000000" w:themeColor="text1"/>
          <w:u w:color="000000" w:themeColor="text1"/>
        </w:rPr>
        <w:tab/>
      </w:r>
      <w:r w:rsidRPr="009D596E">
        <w:rPr>
          <w:color w:val="000000" w:themeColor="text1"/>
          <w:u w:color="000000" w:themeColor="text1"/>
        </w:rPr>
        <w:tab/>
        <w:t>(2)</w:t>
      </w:r>
      <w:r w:rsidRPr="009D596E">
        <w:rPr>
          <w:color w:val="000000" w:themeColor="text1"/>
          <w:u w:color="000000" w:themeColor="text1"/>
        </w:rPr>
        <w:tab/>
        <w:t>The division may enforce the conditions of the general permit issued by the U</w:t>
      </w:r>
      <w:r>
        <w:rPr>
          <w:color w:val="000000" w:themeColor="text1"/>
          <w:u w:color="000000" w:themeColor="text1"/>
        </w:rPr>
        <w:t xml:space="preserve">nited </w:t>
      </w:r>
      <w:r w:rsidRPr="009D596E">
        <w:rPr>
          <w:color w:val="000000" w:themeColor="text1"/>
          <w:u w:color="000000" w:themeColor="text1"/>
        </w:rPr>
        <w:t>S</w:t>
      </w:r>
      <w:r>
        <w:rPr>
          <w:color w:val="000000" w:themeColor="text1"/>
          <w:u w:color="000000" w:themeColor="text1"/>
        </w:rPr>
        <w:t>tates</w:t>
      </w:r>
      <w:r w:rsidRPr="009D596E">
        <w:rPr>
          <w:color w:val="000000" w:themeColor="text1"/>
          <w:u w:color="000000" w:themeColor="text1"/>
        </w:rPr>
        <w:t xml:space="preserve"> Army Corp of Engineers in the same manner and with the same authority as if the division had approved the permit pursuant to the provisions of this chapter.”</w:t>
      </w:r>
    </w:p>
    <w:p w:rsidR="009B30D8"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57657">
        <w:rPr>
          <w:color w:val="000000" w:themeColor="text1"/>
          <w:u w:color="000000" w:themeColor="text1"/>
        </w:rPr>
        <w:t>3</w:t>
      </w:r>
      <w:r w:rsidRPr="00FA1641">
        <w:rPr>
          <w:color w:val="000000" w:themeColor="text1"/>
          <w:u w:color="000000" w:themeColor="text1"/>
        </w:rPr>
        <w:t>.</w:t>
      </w:r>
      <w:r>
        <w:rPr>
          <w:color w:val="000000" w:themeColor="text1"/>
          <w:u w:color="000000" w:themeColor="text1"/>
        </w:rPr>
        <w:tab/>
      </w:r>
      <w:r w:rsidRPr="00FA1641">
        <w:rPr>
          <w:color w:val="000000" w:themeColor="text1"/>
          <w:u w:color="000000" w:themeColor="text1"/>
        </w:rPr>
        <w:t>The intent of the General Assembly is to make this act applicable to property deemed eligible under the United States Army Corps of Engineers, Charleston District</w:t>
      </w:r>
      <w:r w:rsidR="000C1914" w:rsidRPr="000C1914">
        <w:rPr>
          <w:color w:val="000000" w:themeColor="text1"/>
          <w:u w:color="000000" w:themeColor="text1"/>
        </w:rPr>
        <w:t>’</w:t>
      </w:r>
      <w:r w:rsidRPr="00FA1641">
        <w:rPr>
          <w:color w:val="000000" w:themeColor="text1"/>
          <w:u w:color="000000" w:themeColor="text1"/>
        </w:rPr>
        <w:t>s Managed Tidal Impoundment General Permit Number SAC</w:t>
      </w:r>
      <w:r w:rsidR="000C1914">
        <w:rPr>
          <w:color w:val="000000" w:themeColor="text1"/>
          <w:u w:color="000000" w:themeColor="text1"/>
        </w:rPr>
        <w:noBreakHyphen/>
      </w:r>
      <w:r w:rsidRPr="00FA1641">
        <w:rPr>
          <w:color w:val="000000" w:themeColor="text1"/>
          <w:u w:color="000000" w:themeColor="text1"/>
        </w:rPr>
        <w:t>2011</w:t>
      </w:r>
      <w:r w:rsidR="000C1914">
        <w:rPr>
          <w:color w:val="000000" w:themeColor="text1"/>
          <w:u w:color="000000" w:themeColor="text1"/>
        </w:rPr>
        <w:noBreakHyphen/>
      </w:r>
      <w:r w:rsidRPr="00FA1641">
        <w:rPr>
          <w:color w:val="000000" w:themeColor="text1"/>
          <w:u w:color="000000" w:themeColor="text1"/>
        </w:rPr>
        <w:t>1157 and its successors.</w:t>
      </w:r>
    </w:p>
    <w:p w:rsidR="009B30D8" w:rsidRPr="00FA1641"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346C" w:rsidRDefault="009B30D8" w:rsidP="009B3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641">
        <w:rPr>
          <w:color w:val="000000" w:themeColor="text1"/>
          <w:u w:color="000000" w:themeColor="text1"/>
        </w:rPr>
        <w:t>SECTION</w:t>
      </w:r>
      <w:r>
        <w:rPr>
          <w:color w:val="000000" w:themeColor="text1"/>
          <w:u w:color="000000" w:themeColor="text1"/>
        </w:rPr>
        <w:tab/>
      </w:r>
      <w:r w:rsidR="00357657">
        <w:rPr>
          <w:color w:val="000000" w:themeColor="text1"/>
          <w:u w:color="000000" w:themeColor="text1"/>
        </w:rPr>
        <w:t>4</w:t>
      </w:r>
      <w:r w:rsidRPr="00FA1641">
        <w:rPr>
          <w:color w:val="000000" w:themeColor="text1"/>
          <w:u w:color="000000" w:themeColor="text1"/>
        </w:rPr>
        <w:t>.</w:t>
      </w:r>
      <w:r>
        <w:rPr>
          <w:color w:val="000000" w:themeColor="text1"/>
          <w:u w:color="000000" w:themeColor="text1"/>
        </w:rPr>
        <w:tab/>
      </w:r>
      <w:r w:rsidRPr="00FA1641">
        <w:rPr>
          <w:color w:val="000000" w:themeColor="text1"/>
          <w:u w:color="000000" w:themeColor="text1"/>
        </w:rPr>
        <w:t>This act takes effect upon approval by the Governor.</w:t>
      </w:r>
    </w:p>
    <w:p w:rsidR="00FD1359" w:rsidRDefault="000C19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4BA" w:rsidRDefault="00D324BA" w:rsidP="00D324BA">
      <w:pPr>
        <w:suppressAutoHyphens/>
      </w:pPr>
    </w:p>
    <w:sectPr w:rsidR="00D324BA" w:rsidSect="00683C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46C" w:rsidRDefault="0093346C" w:rsidP="009F0C77">
      <w:r>
        <w:separator/>
      </w:r>
    </w:p>
  </w:endnote>
  <w:endnote w:type="continuationSeparator" w:id="0">
    <w:p w:rsidR="0093346C" w:rsidRDefault="00933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56864C-2C54-44EB-88E3-4EA87E62C02D}"/>
    <w:embedBold r:id="rId2" w:fontKey="{94E3B943-1E42-4836-A7C5-145F65772A4B}"/>
  </w:font>
  <w:font w:name="Calibri">
    <w:panose1 w:val="020F0502020204030204"/>
    <w:charset w:val="00"/>
    <w:family w:val="swiss"/>
    <w:pitch w:val="variable"/>
    <w:sig w:usb0="E00002FF" w:usb1="4000ACFF" w:usb2="00000001" w:usb3="00000000" w:csb0="0000019F" w:csb1="00000000"/>
    <w:embedRegular r:id="rId3" w:fontKey="{F573E1F2-1948-4C3E-91ED-E3853FA7BF61}"/>
  </w:font>
  <w:font w:name="Segoe UI">
    <w:panose1 w:val="020B0502040204020203"/>
    <w:charset w:val="00"/>
    <w:family w:val="swiss"/>
    <w:pitch w:val="variable"/>
    <w:sig w:usb0="E10022FF" w:usb1="C000E47F" w:usb2="00000029" w:usb3="00000000" w:csb0="000001DF" w:csb1="00000000"/>
    <w:embedRegular r:id="rId4" w:fontKey="{C8ABAC96-58CE-44E6-9A28-539443403BFF}"/>
  </w:font>
  <w:font w:name="Cambria">
    <w:panose1 w:val="02040503050406030204"/>
    <w:charset w:val="00"/>
    <w:family w:val="roman"/>
    <w:pitch w:val="variable"/>
    <w:sig w:usb0="E00002FF" w:usb1="400004FF" w:usb2="00000000" w:usb3="00000000" w:csb0="0000019F" w:csb1="00000000"/>
    <w:embedRegular r:id="rId5" w:fontKey="{78EE7764-CC16-4F4C-8C6D-ED78340CE3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359" w:rsidRPr="00A11E99" w:rsidRDefault="00A11E99" w:rsidP="00A11E99">
    <w:pPr>
      <w:pStyle w:val="Footer"/>
      <w:tabs>
        <w:tab w:val="clear" w:pos="4680"/>
        <w:tab w:val="clear" w:pos="9360"/>
        <w:tab w:val="center" w:pos="2995"/>
      </w:tabs>
      <w:spacing w:before="120"/>
    </w:pPr>
    <w:r>
      <w:t>[788</w:t>
    </w:r>
    <w:r w:rsidR="00683CDE">
      <w:t>-</w:t>
    </w:r>
    <w:r w:rsidR="00683CDE">
      <w:fldChar w:fldCharType="begin"/>
    </w:r>
    <w:r w:rsidR="00683CDE">
      <w:instrText xml:space="preserve"> PAGE  \* MERGEFORMAT </w:instrText>
    </w:r>
    <w:r w:rsidR="00683CDE">
      <w:fldChar w:fldCharType="separate"/>
    </w:r>
    <w:r w:rsidR="00D876AF">
      <w:rPr>
        <w:noProof/>
      </w:rPr>
      <w:t>1</w:t>
    </w:r>
    <w:r w:rsidR="00683CDE">
      <w:fldChar w:fldCharType="end"/>
    </w:r>
    <w:r w:rsidR="00683C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CDE" w:rsidRPr="00A11E99" w:rsidRDefault="00683CDE" w:rsidP="00A11E99">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sidR="00D324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46C" w:rsidRDefault="0093346C" w:rsidP="009F0C77">
      <w:r>
        <w:separator/>
      </w:r>
    </w:p>
  </w:footnote>
  <w:footnote w:type="continuationSeparator" w:id="0">
    <w:p w:rsidR="0093346C" w:rsidRDefault="00933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19CZ15"/>
    <w:docVar w:name="CoverBillType" w:val="b"/>
    <w:docVar w:name="docpath" w:val="L:\Council\bills\NBD\11119CZ15.DOCX"/>
    <w:docVar w:name="dvBillNumber" w:val="788"/>
    <w:docVar w:name="dvBillNumberPrefix" w:val="S. "/>
    <w:docVar w:name="dvOriginalBody" w:val="Senate"/>
    <w:docVar w:name="dvSteno" w:val="NBD"/>
    <w:docVar w:name="NameofBody" w:val="s"/>
    <w:docVar w:name="vgroup2" w:val="Council"/>
  </w:docVars>
  <w:rsids>
    <w:rsidRoot w:val="0093346C"/>
    <w:rsid w:val="00026C9A"/>
    <w:rsid w:val="000965A1"/>
    <w:rsid w:val="000C191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1DF"/>
    <w:rsid w:val="00325348"/>
    <w:rsid w:val="00357657"/>
    <w:rsid w:val="0036111E"/>
    <w:rsid w:val="00393688"/>
    <w:rsid w:val="003D411E"/>
    <w:rsid w:val="003E3C1E"/>
    <w:rsid w:val="003E6148"/>
    <w:rsid w:val="00400EAA"/>
    <w:rsid w:val="0041760A"/>
    <w:rsid w:val="004203D7"/>
    <w:rsid w:val="004809EE"/>
    <w:rsid w:val="00500792"/>
    <w:rsid w:val="00511EE9"/>
    <w:rsid w:val="00521E00"/>
    <w:rsid w:val="00577C6C"/>
    <w:rsid w:val="0058501B"/>
    <w:rsid w:val="005B2C72"/>
    <w:rsid w:val="0061228A"/>
    <w:rsid w:val="006215AA"/>
    <w:rsid w:val="006340D9"/>
    <w:rsid w:val="00643B8E"/>
    <w:rsid w:val="00665EBC"/>
    <w:rsid w:val="00683CD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346C"/>
    <w:rsid w:val="009352BB"/>
    <w:rsid w:val="00990668"/>
    <w:rsid w:val="009B30D8"/>
    <w:rsid w:val="009B397B"/>
    <w:rsid w:val="009D40C3"/>
    <w:rsid w:val="009F0C77"/>
    <w:rsid w:val="009F4DD1"/>
    <w:rsid w:val="00A11E99"/>
    <w:rsid w:val="00A64E80"/>
    <w:rsid w:val="00A741D9"/>
    <w:rsid w:val="00A75F61"/>
    <w:rsid w:val="00A9741D"/>
    <w:rsid w:val="00AD4B17"/>
    <w:rsid w:val="00B26FA6"/>
    <w:rsid w:val="00B741CB"/>
    <w:rsid w:val="00B934F3"/>
    <w:rsid w:val="00BB6347"/>
    <w:rsid w:val="00BD2134"/>
    <w:rsid w:val="00C038D8"/>
    <w:rsid w:val="00C045DD"/>
    <w:rsid w:val="00C3136F"/>
    <w:rsid w:val="00C3483A"/>
    <w:rsid w:val="00C526DB"/>
    <w:rsid w:val="00C74E9D"/>
    <w:rsid w:val="00C82FD3"/>
    <w:rsid w:val="00CC6B7B"/>
    <w:rsid w:val="00CD3619"/>
    <w:rsid w:val="00CF4447"/>
    <w:rsid w:val="00D056BE"/>
    <w:rsid w:val="00D324BA"/>
    <w:rsid w:val="00D405E7"/>
    <w:rsid w:val="00D41D56"/>
    <w:rsid w:val="00D6260D"/>
    <w:rsid w:val="00D6662B"/>
    <w:rsid w:val="00D876AF"/>
    <w:rsid w:val="00D95E2F"/>
    <w:rsid w:val="00D970A9"/>
    <w:rsid w:val="00DA4F57"/>
    <w:rsid w:val="00DB3AC0"/>
    <w:rsid w:val="00DC6813"/>
    <w:rsid w:val="00DE140E"/>
    <w:rsid w:val="00DE68F0"/>
    <w:rsid w:val="00DF3845"/>
    <w:rsid w:val="00DF7E17"/>
    <w:rsid w:val="00EB00A2"/>
    <w:rsid w:val="00EB1BF3"/>
    <w:rsid w:val="00EF3EEE"/>
    <w:rsid w:val="00F149A7"/>
    <w:rsid w:val="00F50BAF"/>
    <w:rsid w:val="00F52C10"/>
    <w:rsid w:val="00F72A55"/>
    <w:rsid w:val="00F81FFD"/>
    <w:rsid w:val="00F85228"/>
    <w:rsid w:val="00FB6773"/>
    <w:rsid w:val="00FD1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720EC8-53A4-43BD-9729-F96AEEC00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19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19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D1EA5-828E-47CE-8361-AC3EC2A3A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BF92F7AE.dotm</Template>
  <TotalTime>0</TotalTime>
  <Pages>3</Pages>
  <Words>391</Words>
  <Characters>2009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2015-2016 Bill 788 Text of Previous Version (May 19, 2015) - South Carolina Legislature Online</vt:lpstr>
    </vt:vector>
  </TitlesOfParts>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788 Text of Previous Version (May 3, 2016) - South Carolina Legislature Online</dc:title>
  <dc:subject/>
  <dc:creator>%USERNAME%</dc:creator>
  <cp:keywords/>
  <dc:description/>
  <cp:lastModifiedBy>Artie Braswell</cp:lastModifiedBy>
  <cp:revision>2</cp:revision>
  <cp:lastPrinted>2016-04-21T16:59:00Z</cp:lastPrinted>
  <dcterms:created xsi:type="dcterms:W3CDTF">2016-05-03T21:00:00Z</dcterms:created>
  <dcterms:modified xsi:type="dcterms:W3CDTF">2016-05-03T21:00:00Z</dcterms:modified>
</cp:coreProperties>
</file>