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1F68" w:rsidRDefault="00F61F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61F6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0606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01D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 w:rsidRPr="00501D81">
        <w:rPr>
          <w:rFonts w:eastAsia="Times New Roman"/>
        </w:rPr>
        <w:t>TO AMEND SECTION 16</w:t>
      </w:r>
      <w:r w:rsidRPr="00501D81">
        <w:rPr>
          <w:rFonts w:eastAsia="Times New Roman"/>
        </w:rPr>
        <w:noBreakHyphen/>
        <w:t>3</w:t>
      </w:r>
      <w:r w:rsidRPr="00501D81">
        <w:rPr>
          <w:rFonts w:eastAsia="Times New Roman"/>
        </w:rPr>
        <w:noBreakHyphen/>
        <w:t>20, CODE OF LAWS OF SOUTH CAROLINA, 1976, RELATING TO THE PUNISHMENT FOR MURDER, SO AS TO ADD AS A STATUTORY AGGRAVATING CIRCUMSTANCE FOR PURPOSES OF THE DEATH PENALTY THAT THE MURDER WAS COMMITTED AGAINST A PERSON BECAUSE OF THE PERSON’S ACTUAL OR PERCEIVED RACE, COLOR, RELIGION, NATIONAL ORIGIN, GENDER, SEXUAL ORIENTATION, GENDER IDENTITY, OR DISABILITY.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06066" w:rsidRDefault="00606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06066" w:rsidRDefault="0060606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  <w:r w:rsidRPr="00D57F07">
        <w:rPr>
          <w:rFonts w:eastAsia="Times New Roman"/>
          <w:color w:val="000000" w:themeColor="text1"/>
          <w:u w:color="000000" w:themeColor="text1"/>
        </w:rPr>
        <w:t>SECTION</w:t>
      </w:r>
      <w:r w:rsidRPr="00D57F07">
        <w:rPr>
          <w:rFonts w:eastAsia="Times New Roman"/>
          <w:color w:val="000000" w:themeColor="text1"/>
          <w:u w:color="000000" w:themeColor="text1"/>
        </w:rPr>
        <w:tab/>
        <w:t>1.</w:t>
      </w:r>
      <w:r w:rsidRPr="00D57F07">
        <w:rPr>
          <w:rFonts w:eastAsia="Times New Roman"/>
          <w:color w:val="000000" w:themeColor="text1"/>
          <w:u w:color="000000" w:themeColor="text1"/>
        </w:rPr>
        <w:tab/>
        <w:t>Section 16</w:t>
      </w:r>
      <w:r w:rsidRPr="00D57F07">
        <w:rPr>
          <w:rFonts w:eastAsia="Times New Roman"/>
          <w:color w:val="000000" w:themeColor="text1"/>
          <w:u w:color="000000" w:themeColor="text1"/>
        </w:rPr>
        <w:noBreakHyphen/>
        <w:t>3</w:t>
      </w:r>
      <w:r w:rsidRPr="00D57F07">
        <w:rPr>
          <w:rFonts w:eastAsia="Times New Roman"/>
          <w:color w:val="000000" w:themeColor="text1"/>
          <w:u w:color="000000" w:themeColor="text1"/>
        </w:rPr>
        <w:noBreakHyphen/>
        <w:t>20(C)(a) of the 1976 Code is amended to read:</w:t>
      </w: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  <w:color w:val="000000" w:themeColor="text1"/>
          <w:u w:color="000000" w:themeColor="text1"/>
        </w:rPr>
      </w:pP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7F07">
        <w:rPr>
          <w:rFonts w:eastAsia="Times New Roman"/>
          <w:color w:val="000000" w:themeColor="text1"/>
          <w:u w:color="000000" w:themeColor="text1"/>
        </w:rPr>
        <w:tab/>
      </w:r>
      <w:r>
        <w:rPr>
          <w:rFonts w:eastAsia="Times New Roman"/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“</w:t>
      </w:r>
      <w:r>
        <w:rPr>
          <w:color w:val="000000" w:themeColor="text1"/>
          <w:u w:color="000000" w:themeColor="text1"/>
        </w:rPr>
        <w:t>(a)</w:t>
      </w:r>
      <w:r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Statutory aggravating circumstances:</w:t>
      </w: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(1)</w:t>
      </w:r>
      <w:r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The murder was committed while in the commission of the following crimes or acts:</w:t>
      </w: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criminal sexual conduct in any degree;</w:t>
      </w: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kidnapping;</w:t>
      </w: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trafficking in persons;</w:t>
      </w: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burglary in any degree;</w:t>
      </w: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robbery while armed with a deadly weapon;</w:t>
      </w: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larceny with use of a deadly weapon;</w:t>
      </w: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(g)</w:t>
      </w:r>
      <w:r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killing by poison;</w:t>
      </w: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(h)</w:t>
      </w:r>
      <w:r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drug trafficking as defined in Section 44</w:t>
      </w:r>
      <w:r w:rsidRPr="00D57F07">
        <w:rPr>
          <w:color w:val="000000" w:themeColor="text1"/>
          <w:u w:color="000000" w:themeColor="text1"/>
        </w:rPr>
        <w:noBreakHyphen/>
        <w:t>53</w:t>
      </w:r>
      <w:r w:rsidRPr="00D57F07">
        <w:rPr>
          <w:color w:val="000000" w:themeColor="text1"/>
          <w:u w:color="000000" w:themeColor="text1"/>
        </w:rPr>
        <w:noBreakHyphen/>
        <w:t>370(e), 44</w:t>
      </w:r>
      <w:r w:rsidRPr="00D57F07">
        <w:rPr>
          <w:color w:val="000000" w:themeColor="text1"/>
          <w:u w:color="000000" w:themeColor="text1"/>
        </w:rPr>
        <w:noBreakHyphen/>
        <w:t>53</w:t>
      </w:r>
      <w:r w:rsidRPr="00D57F07">
        <w:rPr>
          <w:color w:val="000000" w:themeColor="text1"/>
          <w:u w:color="000000" w:themeColor="text1"/>
        </w:rPr>
        <w:noBreakHyphen/>
        <w:t>375(B), 44</w:t>
      </w:r>
      <w:r w:rsidRPr="00D57F07">
        <w:rPr>
          <w:color w:val="000000" w:themeColor="text1"/>
          <w:u w:color="000000" w:themeColor="text1"/>
        </w:rPr>
        <w:noBreakHyphen/>
        <w:t>53</w:t>
      </w:r>
      <w:r w:rsidRPr="00D57F07">
        <w:rPr>
          <w:color w:val="000000" w:themeColor="text1"/>
          <w:u w:color="000000" w:themeColor="text1"/>
        </w:rPr>
        <w:noBreakHyphen/>
        <w:t>440, or 44</w:t>
      </w:r>
      <w:r w:rsidRPr="00D57F07">
        <w:rPr>
          <w:color w:val="000000" w:themeColor="text1"/>
          <w:u w:color="000000" w:themeColor="text1"/>
        </w:rPr>
        <w:noBreakHyphen/>
        <w:t>53</w:t>
      </w:r>
      <w:r w:rsidRPr="00D57F07">
        <w:rPr>
          <w:color w:val="000000" w:themeColor="text1"/>
          <w:u w:color="000000" w:themeColor="text1"/>
        </w:rPr>
        <w:noBreakHyphen/>
        <w:t>445;</w:t>
      </w: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physical torture;</w:t>
      </w: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(j)</w:t>
      </w:r>
      <w:r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dismemberment of a person; or</w:t>
      </w: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7F07"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ab/>
        <w:t>(k)</w:t>
      </w:r>
      <w:r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arson in the first degree as defined in Section 16</w:t>
      </w:r>
      <w:r w:rsidRPr="00D57F07">
        <w:rPr>
          <w:color w:val="000000" w:themeColor="text1"/>
          <w:u w:color="000000" w:themeColor="text1"/>
        </w:rPr>
        <w:noBreakHyphen/>
        <w:t>11</w:t>
      </w:r>
      <w:r w:rsidRPr="00D57F07">
        <w:rPr>
          <w:color w:val="000000" w:themeColor="text1"/>
          <w:u w:color="000000" w:themeColor="text1"/>
        </w:rPr>
        <w:noBreakHyphen/>
        <w:t>110(A).</w:t>
      </w: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7F07">
        <w:rPr>
          <w:color w:val="000000" w:themeColor="text1"/>
          <w:u w:color="000000" w:themeColor="text1"/>
        </w:rPr>
        <w:lastRenderedPageBreak/>
        <w:tab/>
      </w:r>
      <w:r w:rsidRPr="00D57F07"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ab/>
        <w:t>(2)</w:t>
      </w:r>
      <w:r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The murder was committed by a person with a prior conviction for murder.</w:t>
      </w: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7F07"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The offender by his act of murder knowingly created a great risk of death to more than one person in a public place by means of a weapon or device which normally would be hazardous to the lives of more than one person.</w:t>
      </w: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7F07"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The offender committed the murder for himself or another for the purpose of receiving money or a thing of monetary value.</w:t>
      </w: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The murder of a judicial officer, former judicial officer, solicitor, former solicitor, or other officer of the court during or because of the exercise of his official duty.</w:t>
      </w: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7F07"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ab/>
        <w:t>(6)</w:t>
      </w:r>
      <w:r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The offender caused or directed another to commit murder or committed murder as an agent or employee of another person.</w:t>
      </w: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(7)</w:t>
      </w:r>
      <w:r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The murder of a federal, state, or local law enforcement officer or former federal, state, or local law enforcement officer, peace officer or former peace officer, corrections officer or former corrections officer, including a county or municipal corrections officer or a former county or municipal corrections officer, a county or municipal detention facility employee or former county or municipal detention facility employee, or fireman or former fireman during or because of the performance of his official duties.</w:t>
      </w: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7F07"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ab/>
        <w:t>(8)</w:t>
      </w:r>
      <w:r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The murder of a family member of an official listed in subitems (5) and (7) above with the intent to impede or retaliate against the official.</w:t>
      </w:r>
      <w:r>
        <w:rPr>
          <w:color w:val="000000" w:themeColor="text1"/>
          <w:u w:color="000000" w:themeColor="text1"/>
        </w:rPr>
        <w:t xml:space="preserve"> </w:t>
      </w:r>
      <w:r w:rsidRPr="00D57F07">
        <w:rPr>
          <w:color w:val="000000" w:themeColor="text1"/>
          <w:u w:color="000000" w:themeColor="text1"/>
        </w:rPr>
        <w:t xml:space="preserve"> “Family member” means a spouse, parent, brother, sister, child, or person to whom the official stands in the place of a parent or a person living in the official’s household and related to him by blood or marriage.</w:t>
      </w: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(9)</w:t>
      </w:r>
      <w:r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Two or more persons were murdered by the defendant by one act or pursuant to one scheme or course of conduct.</w:t>
      </w: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(10)</w:t>
      </w:r>
      <w:r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The murder of a child eleven years of age or under.</w:t>
      </w: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(11)</w:t>
      </w:r>
      <w:r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The murder of a witness or potential witness committed at any time during the criminal process for the purpose of impeding or deterring prosecution of any crime.</w:t>
      </w: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7F07"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ab/>
        <w:t>(12)</w:t>
      </w:r>
      <w:r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>The murder was committed by a person deemed a sexually violent predator pursuant to the provisions of Chapter 48, Title 44, or a person deemed a sexually violent predator who is released pursuant to Section 44</w:t>
      </w:r>
      <w:r w:rsidRPr="00D57F07">
        <w:rPr>
          <w:color w:val="000000" w:themeColor="text1"/>
          <w:u w:color="000000" w:themeColor="text1"/>
        </w:rPr>
        <w:noBreakHyphen/>
        <w:t>48</w:t>
      </w:r>
      <w:r w:rsidRPr="00D57F07">
        <w:rPr>
          <w:color w:val="000000" w:themeColor="text1"/>
          <w:u w:color="000000" w:themeColor="text1"/>
        </w:rPr>
        <w:noBreakHyphen/>
        <w:t>120.</w:t>
      </w: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D57F07"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val="single" w:color="000000" w:themeColor="text1"/>
        </w:rPr>
        <w:t>(13)</w:t>
      </w:r>
      <w:r>
        <w:rPr>
          <w:color w:val="000000" w:themeColor="text1"/>
          <w:u w:color="000000" w:themeColor="text1"/>
        </w:rPr>
        <w:tab/>
      </w:r>
      <w:r w:rsidRPr="00D57F07">
        <w:rPr>
          <w:color w:val="000000" w:themeColor="text1"/>
          <w:u w:val="single" w:color="000000" w:themeColor="text1"/>
        </w:rPr>
        <w:t>The murder was committed against a person because of the person’s actual or perceived race, color, religion, national origin, gender, sexual orientation, gender identity, or disability.</w:t>
      </w:r>
      <w:r w:rsidRPr="00D57F07">
        <w:rPr>
          <w:color w:val="000000" w:themeColor="text1"/>
          <w:u w:color="000000" w:themeColor="text1"/>
        </w:rPr>
        <w:t>”</w:t>
      </w:r>
    </w:p>
    <w:p w:rsidR="00501D81" w:rsidRPr="00D57F07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606066" w:rsidRPr="00522CE0" w:rsidRDefault="00501D81" w:rsidP="00501D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D57F07">
        <w:rPr>
          <w:rFonts w:eastAsia="Times New Roman"/>
          <w:color w:val="000000" w:themeColor="text1"/>
          <w:u w:color="000000" w:themeColor="text1"/>
        </w:rPr>
        <w:lastRenderedPageBreak/>
        <w:t>SECTION</w:t>
      </w:r>
      <w:r w:rsidRPr="00D57F07">
        <w:rPr>
          <w:rFonts w:eastAsia="Times New Roman"/>
          <w:color w:val="000000" w:themeColor="text1"/>
          <w:u w:color="000000" w:themeColor="text1"/>
        </w:rPr>
        <w:tab/>
        <w:t>2.</w:t>
      </w:r>
      <w:r w:rsidRPr="00D57F07">
        <w:rPr>
          <w:rFonts w:eastAsia="Times New Roman"/>
          <w:color w:val="000000" w:themeColor="text1"/>
          <w:u w:color="000000" w:themeColor="text1"/>
        </w:rPr>
        <w:tab/>
        <w:t>This act takes effect upon approval by the Governor.</w:t>
      </w:r>
    </w:p>
    <w:p w:rsidR="005C73E0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61F68" w:rsidRDefault="00F61F68" w:rsidP="00F61F68">
      <w:pPr>
        <w:suppressAutoHyphens/>
        <w:jc w:val="both"/>
        <w:rPr>
          <w:rFonts w:eastAsia="Times New Roman"/>
        </w:rPr>
      </w:pPr>
    </w:p>
    <w:sectPr w:rsidR="00F61F68" w:rsidSect="00F61F68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06066" w:rsidRDefault="00606066" w:rsidP="00522CE0">
      <w:r>
        <w:separator/>
      </w:r>
    </w:p>
  </w:endnote>
  <w:endnote w:type="continuationSeparator" w:id="0">
    <w:p w:rsidR="00606066" w:rsidRDefault="0060606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673A124-4F38-49BE-A281-875192DD64F6}"/>
    <w:embedBold r:id="rId2" w:fontKey="{AD1069B7-60E3-4D75-9C31-44D5C11E026D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6AD452B-79E8-45B7-BED3-EE0ACAAA16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E338324D-F721-4657-9BE7-E5DD1647D34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73E0" w:rsidRPr="00F61F68" w:rsidRDefault="00F61F68" w:rsidP="00F61F6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[915]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06066" w:rsidRDefault="00606066" w:rsidP="00522CE0">
      <w:r>
        <w:separator/>
      </w:r>
    </w:p>
  </w:footnote>
  <w:footnote w:type="continuationSeparator" w:id="0">
    <w:p w:rsidR="00606066" w:rsidRDefault="0060606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75.JJG"/>
    <w:docVar w:name="CoverAttorneyInitials" w:val="JJG"/>
    <w:docVar w:name="CoverAttorneyLastName" w:val="Gentry"/>
    <w:docVar w:name="CoverBillType" w:val="b"/>
    <w:docVar w:name="DraftFileName" w:val="JUD0075.JJG.DOCX"/>
    <w:docVar w:name="DraftStenoName" w:val="Knipp"/>
    <w:docVar w:name="dvBillNumber" w:val="915"/>
    <w:docVar w:name="dvBillNumberPrefix" w:val="S. "/>
    <w:docVar w:name="dvOriginalBody" w:val="Senate"/>
    <w:docVar w:name="fulldraftpath" w:val="L:\S-JUD\BILLS\Malloy\JUD0075.JJG.DOCX"/>
    <w:docVar w:name="NameofBody" w:val="S"/>
    <w:docVar w:name="SenatorFolderName" w:val="Malloy"/>
    <w:docVar w:name="VGROUP2" w:val="S-JUD"/>
  </w:docVars>
  <w:rsids>
    <w:rsidRoot w:val="00606066"/>
    <w:rsid w:val="000141EB"/>
    <w:rsid w:val="00042AC1"/>
    <w:rsid w:val="00046516"/>
    <w:rsid w:val="000A4D08"/>
    <w:rsid w:val="000A6988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1330E"/>
    <w:rsid w:val="00221A5C"/>
    <w:rsid w:val="0024519E"/>
    <w:rsid w:val="00245C4E"/>
    <w:rsid w:val="002C5896"/>
    <w:rsid w:val="00307C2B"/>
    <w:rsid w:val="0031409E"/>
    <w:rsid w:val="0032109A"/>
    <w:rsid w:val="00333DF1"/>
    <w:rsid w:val="0033541C"/>
    <w:rsid w:val="00364389"/>
    <w:rsid w:val="003D6A5D"/>
    <w:rsid w:val="003D6E2B"/>
    <w:rsid w:val="003E7597"/>
    <w:rsid w:val="003F74BD"/>
    <w:rsid w:val="00412C9E"/>
    <w:rsid w:val="0042257B"/>
    <w:rsid w:val="00450668"/>
    <w:rsid w:val="00452CD7"/>
    <w:rsid w:val="00477696"/>
    <w:rsid w:val="004952FA"/>
    <w:rsid w:val="004A05F7"/>
    <w:rsid w:val="004A592F"/>
    <w:rsid w:val="004B6A22"/>
    <w:rsid w:val="004C2918"/>
    <w:rsid w:val="004D168C"/>
    <w:rsid w:val="004D6923"/>
    <w:rsid w:val="004D7F37"/>
    <w:rsid w:val="00501D81"/>
    <w:rsid w:val="0051584C"/>
    <w:rsid w:val="00520D79"/>
    <w:rsid w:val="00522CE0"/>
    <w:rsid w:val="00525DCD"/>
    <w:rsid w:val="00541FF6"/>
    <w:rsid w:val="00565148"/>
    <w:rsid w:val="00581497"/>
    <w:rsid w:val="00586B30"/>
    <w:rsid w:val="0058748C"/>
    <w:rsid w:val="00593361"/>
    <w:rsid w:val="005A5017"/>
    <w:rsid w:val="005A648C"/>
    <w:rsid w:val="005C73E0"/>
    <w:rsid w:val="005F15E4"/>
    <w:rsid w:val="00600221"/>
    <w:rsid w:val="00606066"/>
    <w:rsid w:val="00606D23"/>
    <w:rsid w:val="00641A16"/>
    <w:rsid w:val="006431BA"/>
    <w:rsid w:val="006B4B3C"/>
    <w:rsid w:val="006C74EA"/>
    <w:rsid w:val="00720D40"/>
    <w:rsid w:val="0073026D"/>
    <w:rsid w:val="007311B4"/>
    <w:rsid w:val="007318D4"/>
    <w:rsid w:val="00746551"/>
    <w:rsid w:val="00765784"/>
    <w:rsid w:val="007A4390"/>
    <w:rsid w:val="007C65B0"/>
    <w:rsid w:val="007E3B8F"/>
    <w:rsid w:val="007E5CB7"/>
    <w:rsid w:val="00814EED"/>
    <w:rsid w:val="008314D2"/>
    <w:rsid w:val="008804AE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A02011"/>
    <w:rsid w:val="00A35165"/>
    <w:rsid w:val="00A4011E"/>
    <w:rsid w:val="00A41565"/>
    <w:rsid w:val="00A86015"/>
    <w:rsid w:val="00AE59C8"/>
    <w:rsid w:val="00B030B6"/>
    <w:rsid w:val="00B10098"/>
    <w:rsid w:val="00B10E10"/>
    <w:rsid w:val="00B35389"/>
    <w:rsid w:val="00B43327"/>
    <w:rsid w:val="00B450FF"/>
    <w:rsid w:val="00B47304"/>
    <w:rsid w:val="00B66C95"/>
    <w:rsid w:val="00B67A46"/>
    <w:rsid w:val="00B945C5"/>
    <w:rsid w:val="00BA20EA"/>
    <w:rsid w:val="00BB754E"/>
    <w:rsid w:val="00BC0A56"/>
    <w:rsid w:val="00C23348"/>
    <w:rsid w:val="00C27779"/>
    <w:rsid w:val="00C6454A"/>
    <w:rsid w:val="00C74052"/>
    <w:rsid w:val="00CB187A"/>
    <w:rsid w:val="00CD1843"/>
    <w:rsid w:val="00CD7C71"/>
    <w:rsid w:val="00D1088B"/>
    <w:rsid w:val="00D156D2"/>
    <w:rsid w:val="00D77EC0"/>
    <w:rsid w:val="00D86943"/>
    <w:rsid w:val="00D9577E"/>
    <w:rsid w:val="00DA47B9"/>
    <w:rsid w:val="00DB7331"/>
    <w:rsid w:val="00E677A1"/>
    <w:rsid w:val="00E91E2F"/>
    <w:rsid w:val="00EA3546"/>
    <w:rsid w:val="00EB1AAC"/>
    <w:rsid w:val="00EB47AE"/>
    <w:rsid w:val="00EC34E1"/>
    <w:rsid w:val="00ED0AE1"/>
    <w:rsid w:val="00F0234A"/>
    <w:rsid w:val="00F52959"/>
    <w:rsid w:val="00F532D4"/>
    <w:rsid w:val="00F55884"/>
    <w:rsid w:val="00F61F68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FB63D101-1C70-46BD-A2A5-B6420860E5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88B33CAF.dotm</Template>
  <TotalTime>0</TotalTime>
  <Pages>1</Pages>
  <Words>587</Words>
  <Characters>2954</Characters>
  <Application>Microsoft Office Word</Application>
  <DocSecurity>0</DocSecurity>
  <Lines>87</Lines>
  <Paragraphs>31</Paragraphs>
  <ScaleCrop>false</ScaleCrop>
  <Company> </Company>
  <LinksUpToDate>false</LinksUpToDate>
  <CharactersWithSpaces>3595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915 Text of Previous Version (Dec. 2, 2015) - South Carolina Legislature Online</dc:title>
  <dc:subject/>
  <dc:creator>LindseyKnipp</dc:creator>
  <cp:keywords/>
  <dc:description/>
  <cp:lastModifiedBy>N Cumfer</cp:lastModifiedBy>
  <cp:revision>2</cp:revision>
  <dcterms:created xsi:type="dcterms:W3CDTF">2015-12-02T20:43:00Z</dcterms:created>
  <dcterms:modified xsi:type="dcterms:W3CDTF">2015-12-02T20:43:00Z</dcterms:modified>
</cp:coreProperties>
</file>