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24F" w:rsidRPr="00522CE0" w:rsidRDefault="008862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86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A78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022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44 OF THE 1976 CODE, RELATING TO HEALTH, BY ADDING CHAPTER 137, TO ENACT THE RIGHT TO TRY ACT, TO PROVIDE FOR ELIGIBLE PATIENTS’ RIGHT TO TRY INVESTIGATIONAL DRUGS, BIOLOGICAL PRODUCTS, OR DEVICES TO COMBAT A TERMINAL ILLNESS; TO PROVIDE FOR AN ELIGIBLE PATIENT’S REQUEST TO USE </w:t>
      </w:r>
      <w:r w:rsidR="00375C1A">
        <w:rPr>
          <w:rFonts w:eastAsia="Times New Roman"/>
        </w:rPr>
        <w:t xml:space="preserve">AN </w:t>
      </w:r>
      <w:r>
        <w:rPr>
          <w:rFonts w:eastAsia="Times New Roman"/>
        </w:rPr>
        <w:t>INVESTIGATIONAL DRUG, BIOLOGICAL PRODUCT, OR DEVICE; TO PROVIDE THAT AN ELIGIBLE PATIENT GIVE INFORMED CONSENT PRIOR TO USING AN INVESTIGATIONAL DRUG, BIOLOGICAL PRODUCT, OR DEVICE; TO PROVIDE PROTECTION FROM LIABILITY FOR DOCTORS PRESCRIBING AND MANUFACTURERS OF AN INVESTIGATIONAL DRUG, BIOLOGICAL PRODUCT, OR DEVICE; TO PROVIDE THAT STATE EMPLOYEES MAY NOT BLOCK THE PROPER USE OF AN INVESTIGATIONAL DRUG, BIOLOGICAL PRODUCT, OR DEVICE;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A7817" w:rsidRDefault="009A7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A7817" w:rsidRDefault="009A7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22C" w:rsidRDefault="009A7817"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0222C">
        <w:rPr>
          <w:rFonts w:eastAsia="Times New Roman"/>
        </w:rPr>
        <w:t>This act may be referred to and cited as the Right to Try Act.</w:t>
      </w:r>
    </w:p>
    <w:p w:rsidR="00C0222C" w:rsidRDefault="00C0222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781D" w:rsidRDefault="00C0222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25781D">
        <w:rPr>
          <w:rFonts w:eastAsia="Times New Roman"/>
        </w:rPr>
        <w:t>Title 44 of the 1976 Code is amended by adding:</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“CHAPTER </w:t>
      </w:r>
      <w:r w:rsidR="00C0222C">
        <w:rPr>
          <w:rFonts w:eastAsia="Times New Roman"/>
        </w:rPr>
        <w:t>137</w:t>
      </w:r>
    </w:p>
    <w:p w:rsidR="00C0222C" w:rsidRDefault="00C0222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0222C" w:rsidRDefault="00C0222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The Right to Try Act</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C0222C">
        <w:rPr>
          <w:rFonts w:eastAsia="Times New Roman"/>
        </w:rPr>
        <w:t>137</w:t>
      </w:r>
      <w:r>
        <w:rPr>
          <w:rFonts w:eastAsia="Times New Roman"/>
        </w:rPr>
        <w:t>-</w:t>
      </w:r>
      <w:r w:rsidR="00C0222C">
        <w:rPr>
          <w:rFonts w:eastAsia="Times New Roman"/>
        </w:rPr>
        <w:t>1</w:t>
      </w:r>
      <w:r>
        <w:rPr>
          <w:rFonts w:eastAsia="Times New Roman"/>
        </w:rPr>
        <w:t>0.</w:t>
      </w:r>
      <w:r>
        <w:rPr>
          <w:rFonts w:eastAsia="Times New Roman"/>
        </w:rPr>
        <w:tab/>
        <w:t>As used in this chapter:</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(1)</w:t>
      </w:r>
      <w:r>
        <w:rPr>
          <w:rFonts w:eastAsia="Times New Roman"/>
        </w:rPr>
        <w:tab/>
        <w:t>‘Eligible patient’ means an individual who:</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has a terminal illness, attested to by a treating physician;</w:t>
      </w:r>
    </w:p>
    <w:p w:rsidR="00C0222C"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 xml:space="preserve">has, in consultation with a treating physician, considered </w:t>
      </w:r>
      <w:r w:rsidR="00C0222C">
        <w:rPr>
          <w:rFonts w:eastAsia="Times New Roman"/>
        </w:rPr>
        <w:t xml:space="preserve">and exhausted </w:t>
      </w:r>
      <w:r>
        <w:rPr>
          <w:rFonts w:eastAsia="Times New Roman"/>
        </w:rPr>
        <w:t>all other treatment options currently approved by the United State</w:t>
      </w:r>
      <w:r w:rsidR="00293BA6">
        <w:rPr>
          <w:rFonts w:eastAsia="Times New Roman"/>
        </w:rPr>
        <w:t>s Food and Drug Administration;</w:t>
      </w:r>
    </w:p>
    <w:p w:rsidR="0025781D" w:rsidRDefault="00C0222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25781D">
        <w:rPr>
          <w:rFonts w:eastAsia="Times New Roman"/>
        </w:rPr>
        <w:tab/>
        <w:t>(c)</w:t>
      </w:r>
      <w:r w:rsidR="0025781D">
        <w:rPr>
          <w:rFonts w:eastAsia="Times New Roman"/>
        </w:rPr>
        <w:tab/>
        <w:t>has received a recommendation from the treating physician for use of an investigational drug, biological product, or device for treatment of the terminal illness;</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has given infor</w:t>
      </w:r>
      <w:r w:rsidR="00293BA6">
        <w:rPr>
          <w:rFonts w:eastAsia="Times New Roman"/>
        </w:rPr>
        <w:t>med consent in writing to use</w:t>
      </w:r>
      <w:r>
        <w:rPr>
          <w:rFonts w:eastAsia="Times New Roman"/>
        </w:rPr>
        <w:t xml:space="preserve"> the investigational drug, biological product, or device for treatment of the terminal illness or, if the individual is a minor or is otherwise incapable of providing informed consent, the parent or legal guardian has given informed consent in writing to use the investigational drug, biological product, or device; and</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(e)</w:t>
      </w:r>
      <w:r>
        <w:rPr>
          <w:rFonts w:eastAsia="Times New Roman"/>
        </w:rPr>
        <w:tab/>
        <w:t xml:space="preserve">has documentation from the treating physician that the individual meets all of the criteria for this definition, including an attestation from the treating physician that the treating physician was consulted in the creation of the written, informed consent required under this </w:t>
      </w:r>
      <w:r w:rsidR="00C0222C">
        <w:rPr>
          <w:rFonts w:eastAsia="Times New Roman"/>
        </w:rPr>
        <w:t>chapter</w:t>
      </w:r>
      <w:r>
        <w:rPr>
          <w:rFonts w:eastAsia="Times New Roman"/>
        </w:rPr>
        <w:t>.</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‘Investigational drug, biological product, or device’ means a drug, biological product, or device that has successfully completed Phase I of a clinical trial but has not yet been approved for general use by the United States Food and Drug Administration and remains under investigation in a clinical trial approved by the United States Food and Drug Administration.</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‘Terminal illness’ means a progressive disease or medical or surgical condition that:</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entails significant functional impairment;</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is not considered by a treating physician to be reversible even with administration of available treatments approved by the United Stat</w:t>
      </w:r>
      <w:r w:rsidR="00293BA6">
        <w:rPr>
          <w:rFonts w:eastAsia="Times New Roman"/>
        </w:rPr>
        <w:t>es Food and Drug Administration;</w:t>
      </w:r>
      <w:r>
        <w:rPr>
          <w:rFonts w:eastAsia="Times New Roman"/>
        </w:rPr>
        <w:t xml:space="preserve"> and</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will result in death without life-sustaining procedures.</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‘Informed consent’ means a written document that is signed by an eligible patient; or if the patient is a minor, by a parent or legal guardian; or if the patient is incapacitated, by a designated health care agent pursuant to a health care power of attorney, that at a minimum includes:</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an explanation of the currently approved products and treatments for the eligible patient’s terminal illness;</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an attestation that the eligible patient concurs with the treating physician in believing that all currently approved treatments are unlikely to prolong the eligible patient’s life;</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(c)</w:t>
      </w:r>
      <w:r>
        <w:rPr>
          <w:rFonts w:eastAsia="Times New Roman"/>
        </w:rPr>
        <w:tab/>
        <w:t>clear identification of the specific investigational drug, biological product, or device proposed for treatment of the eligible patient’s terminal illness;</w:t>
      </w:r>
    </w:p>
    <w:p w:rsidR="009A7817"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a description of the potentially best and worst outcomes resulting from use of the investigational drug, biological product, or device to treat the eligible patient’s terminal illness, along with a realistic description of the most likely outcome. The description shall be based on the treating physician’s knowledge of the proposed treatment in conjunction with an awareness of the eligible patient’s terminal illness and shall include a statement acknowledging that new, unanticipated, different, or worse symptoms might result from, and that death could be hastened by, the proposed treatment;</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(e)</w:t>
      </w:r>
      <w:r>
        <w:rPr>
          <w:rFonts w:eastAsia="Times New Roman"/>
        </w:rPr>
        <w:tab/>
        <w:t>a statement that eligibility for hospice care may be withdrawn if the eligible patient begins treatment of the terminal illness with an investigational drug, biological product, or device and that hospice care may be reinstated if such treatment ends and the eligible patient meets hospice eligibility requirements;</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(f)</w:t>
      </w:r>
      <w:r>
        <w:rPr>
          <w:rFonts w:eastAsia="Times New Roman"/>
        </w:rPr>
        <w:tab/>
        <w:t>a statement that the eligible patient’s health benefit plan or third-party administrator and provider are not obligated to pay for any care or treatments consequent to the use of the investigational drug, biological product, o</w:t>
      </w:r>
      <w:r w:rsidR="00865177">
        <w:rPr>
          <w:rFonts w:eastAsia="Times New Roman"/>
        </w:rPr>
        <w:t>r device, unless specifically required to do so by law or contract</w:t>
      </w:r>
      <w:r>
        <w:rPr>
          <w:rFonts w:eastAsia="Times New Roman"/>
        </w:rPr>
        <w:t>;</w:t>
      </w:r>
      <w:r w:rsidR="00865177">
        <w:rPr>
          <w:rFonts w:eastAsia="Times New Roman"/>
        </w:rPr>
        <w:t xml:space="preserve"> and</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865177">
        <w:rPr>
          <w:rFonts w:eastAsia="Times New Roman"/>
        </w:rPr>
        <w:t>g)</w:t>
      </w:r>
      <w:r w:rsidR="00865177">
        <w:rPr>
          <w:rFonts w:eastAsia="Times New Roman"/>
        </w:rPr>
        <w:tab/>
        <w:t>a statement that the eligible patient understands that he is liable for all expenses consequent to the use of the investigational drug, biological product, or device and that this liability extends to the eligible patient’s estate, unless a contract between the patient and the manufacturer of the drug, biological product, or device states otherwise.</w:t>
      </w:r>
    </w:p>
    <w:p w:rsidR="006B7462" w:rsidRDefault="006B7462"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7462" w:rsidRDefault="006B7462"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C0222C">
        <w:rPr>
          <w:rFonts w:eastAsia="Times New Roman"/>
        </w:rPr>
        <w:t>137</w:t>
      </w:r>
      <w:r>
        <w:rPr>
          <w:rFonts w:eastAsia="Times New Roman"/>
        </w:rPr>
        <w:t>-</w:t>
      </w:r>
      <w:r w:rsidR="00C0222C">
        <w:rPr>
          <w:rFonts w:eastAsia="Times New Roman"/>
        </w:rPr>
        <w:t>2</w:t>
      </w:r>
      <w:r>
        <w:rPr>
          <w:rFonts w:eastAsia="Times New Roman"/>
        </w:rPr>
        <w:t>0.</w:t>
      </w:r>
      <w:r>
        <w:rPr>
          <w:rFonts w:eastAsia="Times New Roman"/>
        </w:rPr>
        <w:tab/>
        <w:t>(A)</w:t>
      </w:r>
      <w:r>
        <w:rPr>
          <w:rFonts w:eastAsia="Times New Roman"/>
        </w:rPr>
        <w:tab/>
      </w:r>
      <w:r w:rsidR="00A24851">
        <w:rPr>
          <w:rFonts w:eastAsia="Times New Roman"/>
        </w:rPr>
        <w:t>A manufacturer of an investigational drug, biological product, or device may make available to an eligible patient, and an eligible patient may request, the manufacturer’s investigational drug, biological product, or device. Nothing in this article shall be construed to require a manufacturer of an investigational drug, biological product, or device to make such investigational drug, biological product, or device available to an eligible patient.</w:t>
      </w:r>
    </w:p>
    <w:p w:rsidR="00A24851" w:rsidRDefault="00A24851"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A manufacturer of an investigational drug, biological product, or device may provide the investigational drug, biological product, or device to an eligible patient without receiving compensation or may require the eligible patient to pay the costs </w:t>
      </w:r>
      <w:r w:rsidR="002278BB">
        <w:rPr>
          <w:rFonts w:eastAsia="Times New Roman"/>
        </w:rPr>
        <w:t>of, or the costs associated with, the manufacture of the investigational drug,</w:t>
      </w:r>
      <w:r w:rsidR="00293BA6">
        <w:rPr>
          <w:rFonts w:eastAsia="Times New Roman"/>
        </w:rPr>
        <w:t xml:space="preserve"> biological product, or device.</w:t>
      </w:r>
    </w:p>
    <w:p w:rsidR="002278BB" w:rsidRDefault="002278BB"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8BB" w:rsidRDefault="002278BB"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C0222C">
        <w:rPr>
          <w:rFonts w:eastAsia="Times New Roman"/>
        </w:rPr>
        <w:t>137</w:t>
      </w:r>
      <w:r>
        <w:rPr>
          <w:rFonts w:eastAsia="Times New Roman"/>
        </w:rPr>
        <w:t>-</w:t>
      </w:r>
      <w:r w:rsidR="00C0222C">
        <w:rPr>
          <w:rFonts w:eastAsia="Times New Roman"/>
        </w:rPr>
        <w:t>3</w:t>
      </w:r>
      <w:r>
        <w:rPr>
          <w:rFonts w:eastAsia="Times New Roman"/>
        </w:rPr>
        <w:t>0.</w:t>
      </w:r>
      <w:r>
        <w:rPr>
          <w:rFonts w:eastAsia="Times New Roman"/>
        </w:rPr>
        <w:tab/>
        <w:t>If an eligible patient dies while being treated with an investigational drug, biological product, or device, the eligible patient’s heirs are not liable for any outstanding debt related to the treatment, including any costs attributed to lack of insurance coverage for the treatment.</w:t>
      </w:r>
    </w:p>
    <w:p w:rsidR="002278BB" w:rsidRDefault="002278BB"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8BB" w:rsidRDefault="002278BB"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C0222C">
        <w:rPr>
          <w:rFonts w:eastAsia="Times New Roman"/>
        </w:rPr>
        <w:t>137</w:t>
      </w:r>
      <w:r>
        <w:rPr>
          <w:rFonts w:eastAsia="Times New Roman"/>
        </w:rPr>
        <w:t>-</w:t>
      </w:r>
      <w:r w:rsidR="00C0222C">
        <w:rPr>
          <w:rFonts w:eastAsia="Times New Roman"/>
        </w:rPr>
        <w:t>4</w:t>
      </w:r>
      <w:r>
        <w:rPr>
          <w:rFonts w:eastAsia="Times New Roman"/>
        </w:rPr>
        <w:t>0.</w:t>
      </w:r>
      <w:r>
        <w:rPr>
          <w:rFonts w:eastAsia="Times New Roman"/>
        </w:rPr>
        <w:tab/>
        <w:t>(A)</w:t>
      </w:r>
      <w:r>
        <w:rPr>
          <w:rFonts w:eastAsia="Times New Roman"/>
        </w:rPr>
        <w:tab/>
        <w:t xml:space="preserve">A licensing board shall not revoke, fail to renew, suspend, or take any other disciplinary action against a health care provider licensed </w:t>
      </w:r>
      <w:r w:rsidR="00F265FD">
        <w:rPr>
          <w:rFonts w:eastAsia="Times New Roman"/>
        </w:rPr>
        <w:t>in this State</w:t>
      </w:r>
      <w:r>
        <w:rPr>
          <w:rFonts w:eastAsia="Times New Roman"/>
        </w:rPr>
        <w:t>, based solely on the health care provider’s recommendations to an eligible patient regarding access to or treatment with an investigational drug, biological product, or device.</w:t>
      </w:r>
    </w:p>
    <w:p w:rsidR="002278BB" w:rsidRDefault="002278BB"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 entity responsible for Medicare certification shall not take action against a health care provider’s Medicare certification based solely on the health care provider’s recommendation that a patient have access to an investigational drug, biological product, or device.</w:t>
      </w:r>
    </w:p>
    <w:p w:rsidR="00262F9C" w:rsidRDefault="00262F9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F9C" w:rsidRDefault="00262F9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C0222C">
        <w:rPr>
          <w:rFonts w:eastAsia="Times New Roman"/>
        </w:rPr>
        <w:t>137</w:t>
      </w:r>
      <w:r>
        <w:rPr>
          <w:rFonts w:eastAsia="Times New Roman"/>
        </w:rPr>
        <w:t>-</w:t>
      </w:r>
      <w:r w:rsidR="00C0222C">
        <w:rPr>
          <w:rFonts w:eastAsia="Times New Roman"/>
        </w:rPr>
        <w:t>5</w:t>
      </w:r>
      <w:r>
        <w:rPr>
          <w:rFonts w:eastAsia="Times New Roman"/>
        </w:rPr>
        <w:t>0.</w:t>
      </w:r>
      <w:r>
        <w:rPr>
          <w:rFonts w:eastAsia="Times New Roman"/>
        </w:rPr>
        <w:tab/>
        <w:t>No official, employee, or agent of this State shall block or attempt to block an eligible patient’s access to an investigational drug, biological product, or device. Counseling, advice, or a recommendation consistent with medical standards of care from a licensed health care provider does not constitu</w:t>
      </w:r>
      <w:r w:rsidR="00293BA6">
        <w:rPr>
          <w:rFonts w:eastAsia="Times New Roman"/>
        </w:rPr>
        <w:t>te a violation of this section.</w:t>
      </w:r>
    </w:p>
    <w:p w:rsidR="00262F9C" w:rsidRDefault="00262F9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5F67" w:rsidRPr="00820EF5" w:rsidRDefault="00262F9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C0222C">
        <w:rPr>
          <w:rFonts w:eastAsia="Times New Roman"/>
        </w:rPr>
        <w:t>137</w:t>
      </w:r>
      <w:r>
        <w:rPr>
          <w:rFonts w:eastAsia="Times New Roman"/>
        </w:rPr>
        <w:t>-</w:t>
      </w:r>
      <w:r w:rsidR="00C0222C">
        <w:rPr>
          <w:rFonts w:eastAsia="Times New Roman"/>
        </w:rPr>
        <w:t>6</w:t>
      </w:r>
      <w:r>
        <w:rPr>
          <w:rFonts w:eastAsia="Times New Roman"/>
        </w:rPr>
        <w:t>0.</w:t>
      </w:r>
      <w:r>
        <w:rPr>
          <w:rFonts w:eastAsia="Times New Roman"/>
        </w:rPr>
        <w:tab/>
      </w:r>
      <w:r w:rsidR="00965F67">
        <w:rPr>
          <w:rFonts w:eastAsia="Times New Roman"/>
        </w:rPr>
        <w:t>No private right of action may be brought against a manufacturer of an investigational drug, biological product, or device, or against any other person or entity involved in the care of an eligible patient using an investigational drug, biological product, or device, for any harm caused to the eligible patient resulting from the use of the investigational drug, biological product, or device as long as the manufacturer or other person or entity has made a good-faith effort to comply with the provisions of this</w:t>
      </w:r>
      <w:r w:rsidR="00F265FD">
        <w:rPr>
          <w:rFonts w:eastAsia="Times New Roman"/>
        </w:rPr>
        <w:t xml:space="preserve"> chapter </w:t>
      </w:r>
      <w:r w:rsidR="00965F67">
        <w:rPr>
          <w:rFonts w:eastAsia="Times New Roman"/>
        </w:rPr>
        <w:t xml:space="preserve">and has exercised reasonable care in actions undertaken pursuant to this </w:t>
      </w:r>
      <w:r w:rsidR="00F265FD">
        <w:rPr>
          <w:rFonts w:eastAsia="Times New Roman"/>
        </w:rPr>
        <w:t>chapter</w:t>
      </w:r>
      <w:r w:rsidR="00965F67">
        <w:rPr>
          <w:rFonts w:eastAsia="Times New Roman"/>
        </w:rPr>
        <w:t>.”</w:t>
      </w:r>
    </w:p>
    <w:p w:rsidR="009A7817" w:rsidRDefault="009A7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7817" w:rsidRPr="00522CE0" w:rsidRDefault="009A7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A6B2F">
        <w:rPr>
          <w:rFonts w:eastAsia="Times New Roman"/>
        </w:rPr>
        <w:t>3</w:t>
      </w:r>
      <w:r>
        <w:rPr>
          <w:rFonts w:eastAsia="Times New Roman"/>
        </w:rPr>
        <w:t>.</w:t>
      </w:r>
      <w:r>
        <w:rPr>
          <w:rFonts w:eastAsia="Times New Roman"/>
        </w:rPr>
        <w:tab/>
        <w:t>This act takes effect upon approval by the Governor.</w:t>
      </w:r>
    </w:p>
    <w:p w:rsidR="00AC169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8624F" w:rsidRDefault="0088624F" w:rsidP="0088624F">
      <w:pPr>
        <w:suppressAutoHyphens/>
        <w:jc w:val="both"/>
        <w:rPr>
          <w:rFonts w:eastAsia="Times New Roman"/>
        </w:rPr>
      </w:pPr>
    </w:p>
    <w:sectPr w:rsidR="0088624F" w:rsidSect="0088624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22C" w:rsidRDefault="00C0222C" w:rsidP="00522CE0">
      <w:r>
        <w:separator/>
      </w:r>
    </w:p>
  </w:endnote>
  <w:endnote w:type="continuationSeparator" w:id="0">
    <w:p w:rsidR="00C0222C" w:rsidRDefault="00C0222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2E4AC2-7345-4083-897E-7AB6BC05002F}"/>
    <w:embedBold r:id="rId2" w:fontKey="{54AA2AAF-F2BD-46C4-AB7B-2122DDD0212F}"/>
  </w:font>
  <w:font w:name="Calibri">
    <w:panose1 w:val="020F0502020204030204"/>
    <w:charset w:val="00"/>
    <w:family w:val="swiss"/>
    <w:pitch w:val="variable"/>
    <w:sig w:usb0="E00002FF" w:usb1="4000ACFF" w:usb2="00000001" w:usb3="00000000" w:csb0="0000019F" w:csb1="00000000"/>
    <w:embedRegular r:id="rId3" w:fontKey="{2F1E3846-D39E-4154-9659-535A79C840FC}"/>
  </w:font>
  <w:font w:name="Segoe UI">
    <w:panose1 w:val="020B0502040204020203"/>
    <w:charset w:val="00"/>
    <w:family w:val="swiss"/>
    <w:pitch w:val="variable"/>
    <w:sig w:usb0="E10022FF" w:usb1="C000E47F" w:usb2="00000029" w:usb3="00000000" w:csb0="000001DF" w:csb1="00000000"/>
    <w:embedRegular r:id="rId4" w:fontKey="{3361B7D9-A73D-4EE8-BAD4-E1B7BEFC7497}"/>
  </w:font>
  <w:font w:name="Cambria">
    <w:panose1 w:val="02040503050406030204"/>
    <w:charset w:val="00"/>
    <w:family w:val="roman"/>
    <w:pitch w:val="variable"/>
    <w:sig w:usb0="E00002FF" w:usb1="400004FF" w:usb2="00000000" w:usb3="00000000" w:csb0="0000019F" w:csb1="00000000"/>
    <w:embedRegular r:id="rId5" w:fontKey="{5EDB5FA6-7345-4886-9712-BB579C6E46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694" w:rsidRPr="0088624F" w:rsidRDefault="0088624F" w:rsidP="0088624F">
    <w:pPr>
      <w:pStyle w:val="Footer"/>
      <w:tabs>
        <w:tab w:val="clear" w:pos="4680"/>
        <w:tab w:val="clear" w:pos="9360"/>
        <w:tab w:val="center" w:pos="2995"/>
      </w:tabs>
      <w:spacing w:before="120"/>
    </w:pPr>
    <w:r>
      <w:t>[929]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22C" w:rsidRDefault="00C0222C" w:rsidP="00522CE0">
      <w:r>
        <w:separator/>
      </w:r>
    </w:p>
  </w:footnote>
  <w:footnote w:type="continuationSeparator" w:id="0">
    <w:p w:rsidR="00C0222C" w:rsidRDefault="00C0222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RIGH.DMR.PGC"/>
    <w:docVar w:name="CoverAttorneyInitials" w:val="DMR"/>
    <w:docVar w:name="CoverAttorneyLastName" w:val="Daina Riley"/>
    <w:docVar w:name="CoverBillType" w:val="b"/>
    <w:docVar w:name="CoverSenator" w:val="PGC"/>
    <w:docVar w:name="dvBillNumber" w:val="929"/>
    <w:docVar w:name="dvBillNumberPrefix" w:val="S. "/>
    <w:docVar w:name="dvOriginalBody" w:val="Senate"/>
    <w:docVar w:name="fulldraftpath" w:val="L:\S-RES\PGC\013RIGH.DMR.PGC.DOCX"/>
    <w:docVar w:name="NameofBody" w:val="S"/>
    <w:docVar w:name="vgroup2" w:val="S-RES"/>
  </w:docVars>
  <w:rsids>
    <w:rsidRoot w:val="009A7817"/>
    <w:rsid w:val="00042AC1"/>
    <w:rsid w:val="00046516"/>
    <w:rsid w:val="0007601D"/>
    <w:rsid w:val="000B0720"/>
    <w:rsid w:val="000B5EAF"/>
    <w:rsid w:val="001315B2"/>
    <w:rsid w:val="00170561"/>
    <w:rsid w:val="00186AC9"/>
    <w:rsid w:val="00197DF1"/>
    <w:rsid w:val="001B3DD9"/>
    <w:rsid w:val="001B7E5D"/>
    <w:rsid w:val="001C1209"/>
    <w:rsid w:val="001D3BAC"/>
    <w:rsid w:val="00216025"/>
    <w:rsid w:val="002278BB"/>
    <w:rsid w:val="00245C4E"/>
    <w:rsid w:val="0025781D"/>
    <w:rsid w:val="00262F9C"/>
    <w:rsid w:val="00293BA6"/>
    <w:rsid w:val="002C1321"/>
    <w:rsid w:val="002C2031"/>
    <w:rsid w:val="002C5896"/>
    <w:rsid w:val="002D3BED"/>
    <w:rsid w:val="00307C2B"/>
    <w:rsid w:val="00315D04"/>
    <w:rsid w:val="00375C1A"/>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B0E5E"/>
    <w:rsid w:val="005F1745"/>
    <w:rsid w:val="006A1802"/>
    <w:rsid w:val="006B7462"/>
    <w:rsid w:val="006C74EA"/>
    <w:rsid w:val="00720D40"/>
    <w:rsid w:val="007318D4"/>
    <w:rsid w:val="00765784"/>
    <w:rsid w:val="007A4390"/>
    <w:rsid w:val="007E5CB7"/>
    <w:rsid w:val="00820EF5"/>
    <w:rsid w:val="008314D2"/>
    <w:rsid w:val="00842C53"/>
    <w:rsid w:val="00865177"/>
    <w:rsid w:val="0088624F"/>
    <w:rsid w:val="008B2F42"/>
    <w:rsid w:val="008C3697"/>
    <w:rsid w:val="008E185F"/>
    <w:rsid w:val="008F023B"/>
    <w:rsid w:val="00904E16"/>
    <w:rsid w:val="009162B3"/>
    <w:rsid w:val="00927C62"/>
    <w:rsid w:val="0094106D"/>
    <w:rsid w:val="00965F67"/>
    <w:rsid w:val="00983951"/>
    <w:rsid w:val="00984124"/>
    <w:rsid w:val="00984640"/>
    <w:rsid w:val="00995C37"/>
    <w:rsid w:val="009A6B2F"/>
    <w:rsid w:val="009A7817"/>
    <w:rsid w:val="009C118A"/>
    <w:rsid w:val="00A02011"/>
    <w:rsid w:val="00A24851"/>
    <w:rsid w:val="00A4011E"/>
    <w:rsid w:val="00A86015"/>
    <w:rsid w:val="00A9594E"/>
    <w:rsid w:val="00AC1694"/>
    <w:rsid w:val="00AE59C8"/>
    <w:rsid w:val="00B10098"/>
    <w:rsid w:val="00B5790D"/>
    <w:rsid w:val="00B945C5"/>
    <w:rsid w:val="00BA20EA"/>
    <w:rsid w:val="00BB5AFC"/>
    <w:rsid w:val="00BC0A56"/>
    <w:rsid w:val="00C0222C"/>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265FD"/>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554A46F-0D2A-481D-B301-96264592E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022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2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88B33CAF.dotm</Template>
  <TotalTime>0</TotalTime>
  <Pages>1</Pages>
  <Words>1233</Words>
  <Characters>6830</Characters>
  <Application>Microsoft Office Word</Application>
  <DocSecurity>0</DocSecurity>
  <Lines>166</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929 Text of Previous Version (Dec. 2, 2015) - South Carolina Legislature Online</dc:title>
  <dc:subject/>
  <dc:creator>%USERNAME%</dc:creator>
  <cp:keywords/>
  <dc:description/>
  <cp:lastModifiedBy>N Cumfer</cp:lastModifiedBy>
  <cp:revision>2</cp:revision>
  <cp:lastPrinted>2015-12-01T17:17:00Z</cp:lastPrinted>
  <dcterms:created xsi:type="dcterms:W3CDTF">2015-12-02T20:51:00Z</dcterms:created>
  <dcterms:modified xsi:type="dcterms:W3CDTF">2015-12-02T20:51:00Z</dcterms:modified>
</cp:coreProperties>
</file>