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971" w:rsidRDefault="001D6971" w:rsidP="001D6971">
      <w:pPr>
        <w:widowControl w:val="0"/>
        <w:jc w:val="center"/>
      </w:pPr>
      <w:r w:rsidRPr="001D6971">
        <w:rPr>
          <w:b/>
        </w:rPr>
        <w:t>South Carolina General Assembly</w:t>
      </w:r>
    </w:p>
    <w:p w:rsidR="001D6971" w:rsidRDefault="001D6971" w:rsidP="001D6971">
      <w:pPr>
        <w:widowControl w:val="0"/>
        <w:jc w:val="center"/>
      </w:pPr>
      <w:r>
        <w:t>122nd Session, 2017-2018</w:t>
      </w:r>
    </w:p>
    <w:p w:rsidR="001D6971" w:rsidRDefault="001D6971" w:rsidP="001D6971">
      <w:pPr>
        <w:widowControl w:val="0"/>
        <w:jc w:val="left"/>
      </w:pPr>
    </w:p>
    <w:p w:rsidR="001D6971" w:rsidRDefault="001D6971" w:rsidP="001D6971">
      <w:pPr>
        <w:widowControl w:val="0"/>
        <w:jc w:val="left"/>
        <w:rPr>
          <w:b/>
        </w:rPr>
      </w:pPr>
      <w:r w:rsidRPr="001D6971">
        <w:rPr>
          <w:b/>
        </w:rPr>
        <w:t>H. 3082</w:t>
      </w:r>
    </w:p>
    <w:p w:rsidR="001D6971" w:rsidRDefault="001D6971" w:rsidP="001D6971">
      <w:pPr>
        <w:widowControl w:val="0"/>
        <w:jc w:val="left"/>
        <w:rPr>
          <w:b/>
        </w:rPr>
      </w:pPr>
    </w:p>
    <w:p w:rsidR="001D6971" w:rsidRDefault="001D6971" w:rsidP="001D6971">
      <w:pPr>
        <w:widowControl w:val="0"/>
        <w:jc w:val="left"/>
      </w:pPr>
      <w:r w:rsidRPr="001D6971">
        <w:rPr>
          <w:b/>
        </w:rPr>
        <w:t>STATUS INFORMATION</w:t>
      </w:r>
    </w:p>
    <w:p w:rsidR="001D6971" w:rsidRDefault="001D6971" w:rsidP="001D6971">
      <w:pPr>
        <w:widowControl w:val="0"/>
        <w:jc w:val="left"/>
      </w:pPr>
    </w:p>
    <w:p w:rsidR="001D6971" w:rsidRDefault="001D6971" w:rsidP="001D6971">
      <w:pPr>
        <w:widowControl w:val="0"/>
        <w:jc w:val="left"/>
      </w:pPr>
      <w:r>
        <w:t>General Bill</w:t>
      </w:r>
    </w:p>
    <w:p w:rsidR="001D6971" w:rsidRDefault="001D6971" w:rsidP="001D6971">
      <w:pPr>
        <w:widowControl w:val="0"/>
        <w:jc w:val="left"/>
      </w:pPr>
      <w:r>
        <w:t>Sponsors: Rep. Toole</w:t>
      </w:r>
    </w:p>
    <w:p w:rsidR="001D6971" w:rsidRDefault="001D6971" w:rsidP="001D6971">
      <w:pPr>
        <w:widowControl w:val="0"/>
        <w:jc w:val="left"/>
      </w:pPr>
      <w:r>
        <w:t>Document Path: l:\council\bills\dka\3003sa17.docx</w:t>
      </w:r>
    </w:p>
    <w:p w:rsidR="001D6971" w:rsidRDefault="001D6971" w:rsidP="001D6971">
      <w:pPr>
        <w:widowControl w:val="0"/>
        <w:jc w:val="left"/>
      </w:pPr>
    </w:p>
    <w:p w:rsidR="003812A2" w:rsidRDefault="003812A2" w:rsidP="001D6971">
      <w:pPr>
        <w:widowControl w:val="0"/>
        <w:jc w:val="left"/>
      </w:pPr>
      <w:r>
        <w:t>Introduced in the House on January 10, 2017</w:t>
      </w:r>
    </w:p>
    <w:p w:rsidR="003812A2" w:rsidRPr="003812A2" w:rsidRDefault="003812A2" w:rsidP="001D6971">
      <w:pPr>
        <w:widowControl w:val="0"/>
        <w:jc w:val="left"/>
      </w:pPr>
      <w:r>
        <w:t xml:space="preserve">Currently residing in the House Committee on </w:t>
      </w:r>
      <w:r w:rsidRPr="003812A2">
        <w:rPr>
          <w:b/>
        </w:rPr>
        <w:t>Ways and Means</w:t>
      </w:r>
    </w:p>
    <w:p w:rsidR="003812A2" w:rsidRDefault="003812A2" w:rsidP="001D6971">
      <w:pPr>
        <w:widowControl w:val="0"/>
        <w:jc w:val="left"/>
      </w:pPr>
    </w:p>
    <w:p w:rsidR="001D6971" w:rsidRDefault="001D6971" w:rsidP="001D6971">
      <w:pPr>
        <w:widowControl w:val="0"/>
        <w:jc w:val="left"/>
      </w:pPr>
      <w:r>
        <w:t xml:space="preserve">Summary: </w:t>
      </w:r>
      <w:r w:rsidR="004D2E82">
        <w:t>Vehicle Tax Notice</w:t>
      </w:r>
    </w:p>
    <w:p w:rsidR="001D6971" w:rsidRDefault="001D6971" w:rsidP="001D6971">
      <w:pPr>
        <w:widowControl w:val="0"/>
        <w:jc w:val="left"/>
      </w:pPr>
    </w:p>
    <w:p w:rsidR="001D6971" w:rsidRDefault="001D6971" w:rsidP="001D6971">
      <w:pPr>
        <w:widowControl w:val="0"/>
        <w:jc w:val="left"/>
      </w:pPr>
    </w:p>
    <w:p w:rsidR="001D6971" w:rsidRDefault="001D6971" w:rsidP="001D6971">
      <w:pPr>
        <w:widowControl w:val="0"/>
        <w:tabs>
          <w:tab w:val="center" w:pos="590"/>
          <w:tab w:val="center" w:pos="1440"/>
          <w:tab w:val="left" w:pos="1872"/>
          <w:tab w:val="left" w:pos="9187"/>
        </w:tabs>
        <w:jc w:val="left"/>
      </w:pPr>
      <w:r w:rsidRPr="001D6971">
        <w:rPr>
          <w:b/>
        </w:rPr>
        <w:t>HISTORY OF LEGISLATIVE ACTIONS</w:t>
      </w:r>
    </w:p>
    <w:p w:rsidR="001D6971" w:rsidRDefault="001D6971" w:rsidP="001D6971">
      <w:pPr>
        <w:widowControl w:val="0"/>
        <w:tabs>
          <w:tab w:val="center" w:pos="590"/>
          <w:tab w:val="center" w:pos="1440"/>
          <w:tab w:val="left" w:pos="1872"/>
          <w:tab w:val="left" w:pos="9187"/>
        </w:tabs>
        <w:jc w:val="left"/>
      </w:pPr>
    </w:p>
    <w:p w:rsidR="001D6971" w:rsidRPr="001D6971" w:rsidRDefault="001D6971" w:rsidP="001D6971">
      <w:pPr>
        <w:widowControl w:val="0"/>
        <w:tabs>
          <w:tab w:val="center" w:pos="590"/>
          <w:tab w:val="center" w:pos="1440"/>
          <w:tab w:val="left" w:pos="1872"/>
          <w:tab w:val="left" w:pos="9187"/>
        </w:tabs>
        <w:jc w:val="left"/>
      </w:pPr>
      <w:r w:rsidRPr="001D6971">
        <w:rPr>
          <w:u w:val="single"/>
        </w:rPr>
        <w:tab/>
        <w:t>Date</w:t>
      </w:r>
      <w:r w:rsidRPr="001D6971">
        <w:rPr>
          <w:u w:val="single"/>
        </w:rPr>
        <w:tab/>
        <w:t>Body</w:t>
      </w:r>
      <w:r w:rsidRPr="001D6971">
        <w:rPr>
          <w:u w:val="single"/>
        </w:rPr>
        <w:tab/>
        <w:t>Action Description with journal page number</w:t>
      </w:r>
      <w:r w:rsidRPr="001D6971">
        <w:rPr>
          <w:u w:val="single"/>
        </w:rPr>
        <w:tab/>
      </w:r>
    </w:p>
    <w:p w:rsidR="000847F7" w:rsidRDefault="000847F7" w:rsidP="000847F7">
      <w:pPr>
        <w:widowControl w:val="0"/>
        <w:tabs>
          <w:tab w:val="right" w:pos="1008"/>
          <w:tab w:val="left" w:pos="1152"/>
          <w:tab w:val="left" w:pos="1872"/>
          <w:tab w:val="left" w:pos="9187"/>
        </w:tabs>
        <w:ind w:left="2088" w:hanging="2088"/>
        <w:jc w:val="left"/>
      </w:pPr>
      <w:r>
        <w:tab/>
        <w:t>12/15/2016</w:t>
      </w:r>
      <w:r>
        <w:tab/>
        <w:t>House</w:t>
      </w:r>
      <w:r>
        <w:tab/>
      </w:r>
      <w:r w:rsidRPr="00453DA4">
        <w:t>Prefiled</w:t>
      </w:r>
    </w:p>
    <w:p w:rsidR="000847F7" w:rsidRDefault="000847F7" w:rsidP="000847F7">
      <w:pPr>
        <w:widowControl w:val="0"/>
        <w:tabs>
          <w:tab w:val="right" w:pos="1008"/>
          <w:tab w:val="left" w:pos="1152"/>
          <w:tab w:val="left" w:pos="1872"/>
          <w:tab w:val="left" w:pos="9187"/>
        </w:tabs>
        <w:ind w:left="2088" w:hanging="2088"/>
        <w:jc w:val="left"/>
      </w:pPr>
      <w:r>
        <w:tab/>
        <w:t>12/15/2016</w:t>
      </w:r>
      <w:r>
        <w:tab/>
        <w:t>House</w:t>
      </w:r>
      <w:r>
        <w:tab/>
      </w:r>
      <w:r w:rsidRPr="00453DA4">
        <w:t xml:space="preserve">Referred to Committee on </w:t>
      </w:r>
      <w:r w:rsidRPr="00453DA4">
        <w:rPr>
          <w:b/>
        </w:rPr>
        <w:t>Ways and Means</w:t>
      </w:r>
    </w:p>
    <w:p w:rsidR="000847F7" w:rsidRDefault="000847F7" w:rsidP="000847F7">
      <w:pPr>
        <w:widowControl w:val="0"/>
        <w:tabs>
          <w:tab w:val="right" w:pos="1008"/>
          <w:tab w:val="left" w:pos="1152"/>
          <w:tab w:val="left" w:pos="1872"/>
          <w:tab w:val="left" w:pos="9187"/>
        </w:tabs>
        <w:ind w:left="2088" w:hanging="2088"/>
        <w:jc w:val="left"/>
      </w:pPr>
      <w:r>
        <w:tab/>
        <w:t>1/10/2017</w:t>
      </w:r>
      <w:r>
        <w:tab/>
        <w:t>House</w:t>
      </w:r>
      <w:r>
        <w:tab/>
      </w:r>
      <w:r w:rsidRPr="00453DA4">
        <w:t>Introduced and read first time (</w:t>
      </w:r>
      <w:hyperlink r:id="rId7" w:history="1">
        <w:r w:rsidRPr="00453DA4">
          <w:rPr>
            <w:rStyle w:val="Hyperlink"/>
          </w:rPr>
          <w:t>House Journal</w:t>
        </w:r>
        <w:r w:rsidRPr="00453DA4">
          <w:rPr>
            <w:rStyle w:val="Hyperlink"/>
          </w:rPr>
          <w:noBreakHyphen/>
          <w:t>page 67</w:t>
        </w:r>
      </w:hyperlink>
      <w:r w:rsidRPr="00453DA4">
        <w:t>)</w:t>
      </w:r>
    </w:p>
    <w:p w:rsidR="000847F7" w:rsidRDefault="000847F7" w:rsidP="000847F7">
      <w:pPr>
        <w:widowControl w:val="0"/>
        <w:tabs>
          <w:tab w:val="right" w:pos="1008"/>
          <w:tab w:val="left" w:pos="1152"/>
          <w:tab w:val="left" w:pos="1872"/>
          <w:tab w:val="left" w:pos="9187"/>
        </w:tabs>
        <w:ind w:left="2088" w:hanging="2088"/>
        <w:jc w:val="left"/>
      </w:pPr>
      <w:r>
        <w:tab/>
        <w:t>1/10/2017</w:t>
      </w:r>
      <w:r>
        <w:tab/>
        <w:t>House</w:t>
      </w:r>
      <w:r>
        <w:tab/>
      </w:r>
      <w:r w:rsidRPr="00453DA4">
        <w:t>Referred</w:t>
      </w:r>
      <w:r>
        <w:t xml:space="preserve"> to Committee on </w:t>
      </w:r>
      <w:r w:rsidRPr="00453DA4">
        <w:rPr>
          <w:b/>
        </w:rPr>
        <w:t>Ways and Means</w:t>
      </w:r>
      <w:r>
        <w:t xml:space="preserve"> </w:t>
      </w:r>
      <w:r w:rsidRPr="00453DA4">
        <w:t>(</w:t>
      </w:r>
      <w:hyperlink r:id="rId8" w:history="1">
        <w:r w:rsidRPr="00453DA4">
          <w:rPr>
            <w:rStyle w:val="Hyperlink"/>
          </w:rPr>
          <w:t>House Journal</w:t>
        </w:r>
        <w:r w:rsidRPr="00453DA4">
          <w:rPr>
            <w:rStyle w:val="Hyperlink"/>
          </w:rPr>
          <w:noBreakHyphen/>
          <w:t>page 67</w:t>
        </w:r>
      </w:hyperlink>
      <w:r w:rsidRPr="00453DA4">
        <w:t>)</w:t>
      </w:r>
    </w:p>
    <w:p w:rsidR="000847F7" w:rsidRDefault="000847F7" w:rsidP="000847F7">
      <w:pPr>
        <w:widowControl w:val="0"/>
        <w:tabs>
          <w:tab w:val="right" w:pos="1008"/>
          <w:tab w:val="left" w:pos="1152"/>
          <w:tab w:val="left" w:pos="1872"/>
          <w:tab w:val="left" w:pos="9187"/>
        </w:tabs>
        <w:ind w:left="2088" w:hanging="2088"/>
        <w:jc w:val="left"/>
      </w:pPr>
    </w:p>
    <w:p w:rsidR="001D6971" w:rsidRDefault="001D6971" w:rsidP="001D697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D6971">
          <w:rPr>
            <w:rStyle w:val="Hyperlink"/>
          </w:rPr>
          <w:t>legislative information</w:t>
        </w:r>
      </w:hyperlink>
      <w:r>
        <w:t xml:space="preserve"> at the website</w:t>
      </w:r>
    </w:p>
    <w:p w:rsidR="001D6971" w:rsidRDefault="001D6971" w:rsidP="001D6971">
      <w:pPr>
        <w:widowControl w:val="0"/>
        <w:tabs>
          <w:tab w:val="right" w:pos="1008"/>
          <w:tab w:val="left" w:pos="1152"/>
          <w:tab w:val="left" w:pos="1872"/>
          <w:tab w:val="left" w:pos="9187"/>
        </w:tabs>
        <w:ind w:left="2088" w:hanging="2088"/>
        <w:jc w:val="left"/>
      </w:pPr>
    </w:p>
    <w:p w:rsidR="001D6971" w:rsidRPr="001D6971" w:rsidRDefault="001D6971" w:rsidP="001D6971">
      <w:pPr>
        <w:widowControl w:val="0"/>
        <w:tabs>
          <w:tab w:val="right" w:pos="1008"/>
          <w:tab w:val="left" w:pos="1152"/>
          <w:tab w:val="left" w:pos="1872"/>
          <w:tab w:val="left" w:pos="9187"/>
        </w:tabs>
        <w:ind w:left="2088" w:hanging="2088"/>
        <w:jc w:val="left"/>
      </w:pPr>
    </w:p>
    <w:p w:rsidR="001D6971" w:rsidRDefault="001D6971" w:rsidP="001D6971">
      <w:pPr>
        <w:widowControl w:val="0"/>
        <w:jc w:val="left"/>
      </w:pPr>
      <w:r w:rsidRPr="001D6971">
        <w:rPr>
          <w:b/>
        </w:rPr>
        <w:t>VERSIONS OF THIS BILL</w:t>
      </w:r>
    </w:p>
    <w:p w:rsidR="001D6971" w:rsidRDefault="001D6971" w:rsidP="001D6971">
      <w:pPr>
        <w:widowControl w:val="0"/>
        <w:jc w:val="left"/>
      </w:pPr>
    </w:p>
    <w:p w:rsidR="001D6971" w:rsidRDefault="001B3604" w:rsidP="001D6971">
      <w:pPr>
        <w:widowControl w:val="0"/>
        <w:jc w:val="left"/>
      </w:pPr>
      <w:hyperlink r:id="rId10" w:history="1">
        <w:r w:rsidR="001D6971">
          <w:rPr>
            <w:rStyle w:val="Hyperlink"/>
          </w:rPr>
          <w:t>12/15/2016</w:t>
        </w:r>
      </w:hyperlink>
    </w:p>
    <w:p w:rsidR="001D6971" w:rsidRDefault="001D6971" w:rsidP="001D6971"/>
    <w:p w:rsidR="001D6971" w:rsidRDefault="001D6971" w:rsidP="001D6971">
      <w:pPr>
        <w:sectPr w:rsidR="001D6971" w:rsidSect="001D6971">
          <w:pgSz w:w="12240" w:h="15840" w:code="1"/>
          <w:pgMar w:top="1080" w:right="1440" w:bottom="1080" w:left="1440" w:header="720" w:footer="720" w:gutter="0"/>
          <w:cols w:space="720"/>
          <w:noEndnote/>
          <w:docGrid w:linePitch="360"/>
        </w:sectPr>
      </w:pPr>
    </w:p>
    <w:p w:rsidR="00FE2D36" w:rsidRDefault="00FE2D36" w:rsidP="00D7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3EA" w:rsidRDefault="00D733EA" w:rsidP="00D7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3EA" w:rsidRDefault="00D733EA" w:rsidP="00D7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3EA" w:rsidRDefault="00D733EA" w:rsidP="00D7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3EA" w:rsidRDefault="00D733EA" w:rsidP="00D7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3EA" w:rsidRDefault="00D733EA" w:rsidP="00D7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3EA" w:rsidRDefault="00D733EA" w:rsidP="00D7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76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BCE" w:rsidRPr="009B5C0D" w:rsidRDefault="003B2BCE" w:rsidP="003B2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B5C0D">
        <w:rPr>
          <w:color w:val="000000" w:themeColor="text1"/>
          <w:u w:color="000000" w:themeColor="text1"/>
        </w:rPr>
        <w:t>TO AMEND THE CODE OF LAWS OF SOUTH CAROLINA, 1976, BY ADDING SECTION 12</w:t>
      </w:r>
      <w:r>
        <w:rPr>
          <w:color w:val="000000" w:themeColor="text1"/>
          <w:u w:color="000000" w:themeColor="text1"/>
        </w:rPr>
        <w:noBreakHyphen/>
      </w:r>
      <w:r w:rsidRPr="009B5C0D">
        <w:rPr>
          <w:color w:val="000000" w:themeColor="text1"/>
          <w:u w:color="000000" w:themeColor="text1"/>
        </w:rPr>
        <w:t>37</w:t>
      </w:r>
      <w:r>
        <w:rPr>
          <w:color w:val="000000" w:themeColor="text1"/>
          <w:u w:color="000000" w:themeColor="text1"/>
        </w:rPr>
        <w:noBreakHyphen/>
      </w:r>
      <w:r w:rsidRPr="009B5C0D">
        <w:rPr>
          <w:color w:val="000000" w:themeColor="text1"/>
          <w:u w:color="000000" w:themeColor="text1"/>
        </w:rPr>
        <w:t xml:space="preserve">2655 SO AS TO REQUIRE CERTAIN VALUATION INFORMATION TO BE INCLUDED ON A VEHICLE TAX NOTICE; </w:t>
      </w:r>
      <w:r>
        <w:rPr>
          <w:color w:val="000000" w:themeColor="text1"/>
          <w:u w:color="000000" w:themeColor="text1"/>
        </w:rPr>
        <w:t>TO AMEND SECTION 12</w:t>
      </w:r>
      <w:r>
        <w:rPr>
          <w:color w:val="000000" w:themeColor="text1"/>
          <w:u w:color="000000" w:themeColor="text1"/>
        </w:rPr>
        <w:noBreakHyphen/>
        <w:t>37</w:t>
      </w:r>
      <w:r>
        <w:rPr>
          <w:color w:val="000000" w:themeColor="text1"/>
          <w:u w:color="000000" w:themeColor="text1"/>
        </w:rPr>
        <w:noBreakHyphen/>
        <w:t>930, RELATING TO THE VALUATION OF PROPERTY, SO AS TO PROVIDE THAT THE FAIR MARKET VALUE OF CERTAIN VEHICLES MAY NOT EXCEED NINETY</w:t>
      </w:r>
      <w:r>
        <w:rPr>
          <w:color w:val="000000" w:themeColor="text1"/>
          <w:u w:color="000000" w:themeColor="text1"/>
        </w:rPr>
        <w:noBreakHyphen/>
        <w:t>TWO PERCENT OF THE PRIOR YEAR</w:t>
      </w:r>
      <w:r w:rsidRPr="003B1705">
        <w:rPr>
          <w:color w:val="000000" w:themeColor="text1"/>
          <w:u w:color="000000" w:themeColor="text1"/>
        </w:rPr>
        <w:t>’</w:t>
      </w:r>
      <w:r>
        <w:rPr>
          <w:color w:val="000000" w:themeColor="text1"/>
          <w:u w:color="000000" w:themeColor="text1"/>
        </w:rPr>
        <w:t>S VALUE</w:t>
      </w:r>
      <w:r w:rsidR="009F338A">
        <w:rPr>
          <w:color w:val="000000" w:themeColor="text1"/>
          <w:u w:color="000000" w:themeColor="text1"/>
        </w:rPr>
        <w:t>;</w:t>
      </w:r>
      <w:r>
        <w:rPr>
          <w:color w:val="000000" w:themeColor="text1"/>
          <w:u w:color="000000" w:themeColor="text1"/>
        </w:rPr>
        <w:t xml:space="preserve"> </w:t>
      </w:r>
      <w:r w:rsidRPr="009B5C0D">
        <w:rPr>
          <w:color w:val="000000" w:themeColor="text1"/>
          <w:u w:color="000000" w:themeColor="text1"/>
        </w:rPr>
        <w:t>AND TO AMEND SECTION 12</w:t>
      </w:r>
      <w:r>
        <w:rPr>
          <w:color w:val="000000" w:themeColor="text1"/>
          <w:u w:color="000000" w:themeColor="text1"/>
        </w:rPr>
        <w:noBreakHyphen/>
      </w:r>
      <w:r w:rsidRPr="009B5C0D">
        <w:rPr>
          <w:color w:val="000000" w:themeColor="text1"/>
          <w:u w:color="000000" w:themeColor="text1"/>
        </w:rPr>
        <w:t>37</w:t>
      </w:r>
      <w:r>
        <w:rPr>
          <w:color w:val="000000" w:themeColor="text1"/>
          <w:u w:color="000000" w:themeColor="text1"/>
        </w:rPr>
        <w:noBreakHyphen/>
      </w:r>
      <w:r w:rsidRPr="009B5C0D">
        <w:rPr>
          <w:color w:val="000000" w:themeColor="text1"/>
          <w:u w:color="000000" w:themeColor="text1"/>
        </w:rPr>
        <w:t>2680, RELATING TO THE DETERMINATION OF THE ASSESSED VALUE OF A VEHICLE, SO AS TO REQUIRE THAT THE VALUE OF A VEHICLE NOT SET FORTH IN CERTAIN GUIDES OR MANUALS MAY NOT EXCEED NINETY</w:t>
      </w:r>
      <w:r>
        <w:rPr>
          <w:color w:val="000000" w:themeColor="text1"/>
          <w:u w:color="000000" w:themeColor="text1"/>
        </w:rPr>
        <w:noBreakHyphen/>
        <w:t>TWO</w:t>
      </w:r>
      <w:r w:rsidRPr="009B5C0D">
        <w:rPr>
          <w:color w:val="000000" w:themeColor="text1"/>
          <w:u w:color="000000" w:themeColor="text1"/>
        </w:rPr>
        <w:t xml:space="preserve"> PERCENT OF THE PRIOR YEAR</w:t>
      </w:r>
      <w:r w:rsidRPr="003B1705">
        <w:rPr>
          <w:color w:val="000000" w:themeColor="text1"/>
          <w:u w:color="000000" w:themeColor="text1"/>
        </w:rPr>
        <w:t>’</w:t>
      </w:r>
      <w:r w:rsidRPr="009B5C0D">
        <w:rPr>
          <w:color w:val="000000" w:themeColor="text1"/>
          <w:u w:color="000000" w:themeColor="text1"/>
        </w:rPr>
        <w:t xml:space="preserve">S VALUE.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766F" w:rsidRDefault="006676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766F" w:rsidRDefault="006676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BCE" w:rsidRPr="009B5C0D" w:rsidRDefault="0066766F" w:rsidP="003B2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B2BCE" w:rsidRPr="009B5C0D">
        <w:rPr>
          <w:color w:val="000000" w:themeColor="text1"/>
          <w:u w:color="000000" w:themeColor="text1"/>
        </w:rPr>
        <w:t xml:space="preserve">Article 21, Chapter 37, Title 12 of the 1976 Code is amended by adding: </w:t>
      </w:r>
    </w:p>
    <w:p w:rsidR="003B2BCE" w:rsidRPr="009B5C0D" w:rsidRDefault="003B2BCE" w:rsidP="003B2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BCE" w:rsidRPr="009B5C0D" w:rsidRDefault="003B2BCE" w:rsidP="003B2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5C0D">
        <w:rPr>
          <w:color w:val="000000" w:themeColor="text1"/>
          <w:u w:color="000000" w:themeColor="text1"/>
        </w:rPr>
        <w:t>“Section 12</w:t>
      </w:r>
      <w:r>
        <w:rPr>
          <w:color w:val="000000" w:themeColor="text1"/>
          <w:u w:color="000000" w:themeColor="text1"/>
        </w:rPr>
        <w:noBreakHyphen/>
      </w:r>
      <w:r w:rsidRPr="009B5C0D">
        <w:rPr>
          <w:color w:val="000000" w:themeColor="text1"/>
          <w:u w:color="000000" w:themeColor="text1"/>
        </w:rPr>
        <w:t>37</w:t>
      </w:r>
      <w:r>
        <w:rPr>
          <w:color w:val="000000" w:themeColor="text1"/>
          <w:u w:color="000000" w:themeColor="text1"/>
        </w:rPr>
        <w:noBreakHyphen/>
      </w:r>
      <w:r w:rsidRPr="009B5C0D">
        <w:rPr>
          <w:color w:val="000000" w:themeColor="text1"/>
          <w:u w:color="000000" w:themeColor="text1"/>
        </w:rPr>
        <w:t>2655.</w:t>
      </w:r>
      <w:r>
        <w:rPr>
          <w:color w:val="000000" w:themeColor="text1"/>
          <w:u w:color="000000" w:themeColor="text1"/>
        </w:rPr>
        <w:tab/>
      </w:r>
      <w:r w:rsidRPr="009B5C0D">
        <w:rPr>
          <w:color w:val="000000" w:themeColor="text1"/>
          <w:u w:color="000000" w:themeColor="text1"/>
        </w:rPr>
        <w:t>A vehicle tax notice must include language stating that</w:t>
      </w:r>
      <w:r>
        <w:rPr>
          <w:color w:val="000000" w:themeColor="text1"/>
          <w:u w:color="000000" w:themeColor="text1"/>
        </w:rPr>
        <w:t>,</w:t>
      </w:r>
      <w:r w:rsidRPr="009B5C0D">
        <w:rPr>
          <w:color w:val="000000" w:themeColor="text1"/>
          <w:u w:color="000000" w:themeColor="text1"/>
        </w:rPr>
        <w:t xml:space="preserve"> </w:t>
      </w:r>
      <w:r>
        <w:rPr>
          <w:color w:val="000000" w:themeColor="text1"/>
          <w:u w:color="000000" w:themeColor="text1"/>
        </w:rPr>
        <w:t>in accordance with Section 12</w:t>
      </w:r>
      <w:r>
        <w:rPr>
          <w:color w:val="000000" w:themeColor="text1"/>
          <w:u w:color="000000" w:themeColor="text1"/>
        </w:rPr>
        <w:noBreakHyphen/>
        <w:t>37</w:t>
      </w:r>
      <w:r>
        <w:rPr>
          <w:color w:val="000000" w:themeColor="text1"/>
          <w:u w:color="000000" w:themeColor="text1"/>
        </w:rPr>
        <w:noBreakHyphen/>
        <w:t xml:space="preserve">930, </w:t>
      </w:r>
      <w:r w:rsidRPr="009B5C0D">
        <w:rPr>
          <w:color w:val="000000" w:themeColor="text1"/>
          <w:u w:color="000000" w:themeColor="text1"/>
        </w:rPr>
        <w:t>the value of a vehicle may not exceed ninety</w:t>
      </w:r>
      <w:r>
        <w:rPr>
          <w:color w:val="000000" w:themeColor="text1"/>
          <w:u w:color="000000" w:themeColor="text1"/>
        </w:rPr>
        <w:noBreakHyphen/>
        <w:t>two</w:t>
      </w:r>
      <w:r w:rsidRPr="009B5C0D">
        <w:rPr>
          <w:color w:val="000000" w:themeColor="text1"/>
          <w:u w:color="000000" w:themeColor="text1"/>
        </w:rPr>
        <w:t xml:space="preserve"> percent of the prior year</w:t>
      </w:r>
      <w:r w:rsidRPr="003B1705">
        <w:rPr>
          <w:color w:val="000000" w:themeColor="text1"/>
          <w:u w:color="000000" w:themeColor="text1"/>
        </w:rPr>
        <w:t>’</w:t>
      </w:r>
      <w:r w:rsidRPr="009B5C0D">
        <w:rPr>
          <w:color w:val="000000" w:themeColor="text1"/>
          <w:u w:color="000000" w:themeColor="text1"/>
        </w:rPr>
        <w:t xml:space="preserve">s value. </w:t>
      </w:r>
      <w:r>
        <w:rPr>
          <w:color w:val="000000" w:themeColor="text1"/>
          <w:u w:color="000000" w:themeColor="text1"/>
        </w:rPr>
        <w:t xml:space="preserve"> Notice of the appeal process must be included on the tax bill.  </w:t>
      </w:r>
      <w:r w:rsidRPr="009B5C0D">
        <w:rPr>
          <w:color w:val="000000" w:themeColor="text1"/>
          <w:u w:color="000000" w:themeColor="text1"/>
        </w:rPr>
        <w:t>A taxpayer may appeal the valuation</w:t>
      </w:r>
      <w:r>
        <w:rPr>
          <w:color w:val="000000" w:themeColor="text1"/>
          <w:u w:color="000000" w:themeColor="text1"/>
        </w:rPr>
        <w:t xml:space="preserve"> on this basis </w:t>
      </w:r>
      <w:r w:rsidRPr="009B5C0D">
        <w:rPr>
          <w:color w:val="000000" w:themeColor="text1"/>
          <w:u w:color="000000" w:themeColor="text1"/>
        </w:rPr>
        <w:t>as provided by law.”</w:t>
      </w:r>
    </w:p>
    <w:p w:rsidR="003B2BCE" w:rsidRDefault="003B2BCE" w:rsidP="003B2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BCE" w:rsidRDefault="003B2BCE" w:rsidP="003B2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first undesignated paragraph of Section 12</w:t>
      </w:r>
      <w:r>
        <w:rPr>
          <w:color w:val="000000" w:themeColor="text1"/>
          <w:u w:color="000000" w:themeColor="text1"/>
        </w:rPr>
        <w:noBreakHyphen/>
        <w:t>37</w:t>
      </w:r>
      <w:r>
        <w:rPr>
          <w:color w:val="000000" w:themeColor="text1"/>
          <w:u w:color="000000" w:themeColor="text1"/>
        </w:rPr>
        <w:noBreakHyphen/>
        <w:t>930 of the 1976 Code is amended to read:</w:t>
      </w:r>
    </w:p>
    <w:p w:rsidR="003B2BCE" w:rsidRDefault="003B2BCE" w:rsidP="003B2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BCE" w:rsidRDefault="003B2BCE" w:rsidP="003B2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CC3D3D">
        <w:t xml:space="preserve">All property must be valued for taxation at its true value in money which in all cases is the price which the property would bring </w:t>
      </w:r>
      <w:r w:rsidRPr="00CC3D3D">
        <w:lastRenderedPageBreak/>
        <w:t xml:space="preserve">following reasonable exposure to the market, where both the seller and the buyer are willing, are not acting under compulsion, and are reasonably well informed of the uses and purposes for which it is adapted and for which it is capable of being used. The fair market value for vehicles, watercraft, and aircraft must be based on values derived from a nationally recognized publication of vehicle valuations, except that the value may not exceed </w:t>
      </w:r>
      <w:r w:rsidRPr="003B1705">
        <w:rPr>
          <w:strike/>
        </w:rPr>
        <w:t>ninety</w:t>
      </w:r>
      <w:r>
        <w:rPr>
          <w:strike/>
        </w:rPr>
        <w:noBreakHyphen/>
      </w:r>
      <w:r w:rsidRPr="003B1705">
        <w:rPr>
          <w:strike/>
        </w:rPr>
        <w:t>five</w:t>
      </w:r>
      <w:r w:rsidRPr="00CC3D3D">
        <w:t xml:space="preserve"> </w:t>
      </w:r>
      <w:r>
        <w:rPr>
          <w:u w:val="single"/>
        </w:rPr>
        <w:t>ninety</w:t>
      </w:r>
      <w:r>
        <w:rPr>
          <w:u w:val="single"/>
        </w:rPr>
        <w:noBreakHyphen/>
        <w:t>two</w:t>
      </w:r>
      <w:r>
        <w:t xml:space="preserve"> </w:t>
      </w:r>
      <w:r w:rsidRPr="00CC3D3D">
        <w:t>percent of the prior year</w:t>
      </w:r>
      <w:r w:rsidRPr="003B1705">
        <w:t>’</w:t>
      </w:r>
      <w:r w:rsidRPr="00CC3D3D">
        <w:t>s value. However, acreage allotments or marketing quota allotments for a commodity established under a program of the United States Department of Agriculture is classified as incorporeal hereditaments and the market value of real property to which they are attached may not include the value, if any, of the acreage allotment or marketing quota. Fair market value of manufacturer</w:t>
      </w:r>
      <w:r w:rsidRPr="003B1705">
        <w:t>’</w:t>
      </w:r>
      <w:r w:rsidRPr="00CC3D3D">
        <w:t>s machinery and equipment used in the conduct of the manufacturing business, excluding vehicles, watercraft, and aircraft required to be registered or licensed by a state or federal agency, must be determined by reducing the original cost by an annual allowance for depreciation as stated in the following schedule.</w:t>
      </w:r>
      <w:r>
        <w:t>”</w:t>
      </w:r>
    </w:p>
    <w:p w:rsidR="003B2BCE" w:rsidRPr="009B5C0D" w:rsidRDefault="003B2BCE" w:rsidP="003B2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BCE" w:rsidRPr="009B5C0D" w:rsidRDefault="003B2BCE" w:rsidP="003B2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5C0D">
        <w:rPr>
          <w:color w:val="000000" w:themeColor="text1"/>
          <w:u w:color="000000" w:themeColor="text1"/>
        </w:rPr>
        <w:t>SECTION</w:t>
      </w:r>
      <w:r>
        <w:rPr>
          <w:color w:val="000000" w:themeColor="text1"/>
          <w:u w:color="000000" w:themeColor="text1"/>
        </w:rPr>
        <w:tab/>
        <w:t>3</w:t>
      </w:r>
      <w:r w:rsidRPr="009B5C0D">
        <w:rPr>
          <w:color w:val="000000" w:themeColor="text1"/>
          <w:u w:color="000000" w:themeColor="text1"/>
        </w:rPr>
        <w:t>.</w:t>
      </w:r>
      <w:r>
        <w:rPr>
          <w:color w:val="000000" w:themeColor="text1"/>
          <w:u w:color="000000" w:themeColor="text1"/>
        </w:rPr>
        <w:tab/>
      </w:r>
      <w:r w:rsidRPr="009B5C0D">
        <w:rPr>
          <w:color w:val="000000" w:themeColor="text1"/>
          <w:u w:color="000000" w:themeColor="text1"/>
        </w:rPr>
        <w:t>Section 12</w:t>
      </w:r>
      <w:r>
        <w:rPr>
          <w:color w:val="000000" w:themeColor="text1"/>
          <w:u w:color="000000" w:themeColor="text1"/>
        </w:rPr>
        <w:noBreakHyphen/>
      </w:r>
      <w:r w:rsidRPr="009B5C0D">
        <w:rPr>
          <w:color w:val="000000" w:themeColor="text1"/>
          <w:u w:color="000000" w:themeColor="text1"/>
        </w:rPr>
        <w:t>37</w:t>
      </w:r>
      <w:r>
        <w:rPr>
          <w:color w:val="000000" w:themeColor="text1"/>
          <w:u w:color="000000" w:themeColor="text1"/>
        </w:rPr>
        <w:noBreakHyphen/>
      </w:r>
      <w:r w:rsidRPr="009B5C0D">
        <w:rPr>
          <w:color w:val="000000" w:themeColor="text1"/>
          <w:u w:color="000000" w:themeColor="text1"/>
        </w:rPr>
        <w:t xml:space="preserve">2680 of the 1976 Code is amended to read: </w:t>
      </w:r>
    </w:p>
    <w:p w:rsidR="003B2BCE" w:rsidRPr="009B5C0D" w:rsidRDefault="003B2BCE" w:rsidP="003B2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BCE" w:rsidRPr="009B5C0D" w:rsidRDefault="003B2BCE" w:rsidP="003B2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5C0D">
        <w:rPr>
          <w:color w:val="000000" w:themeColor="text1"/>
          <w:u w:color="000000" w:themeColor="text1"/>
        </w:rPr>
        <w:t>“Section 12</w:t>
      </w:r>
      <w:r>
        <w:rPr>
          <w:color w:val="000000" w:themeColor="text1"/>
          <w:u w:color="000000" w:themeColor="text1"/>
        </w:rPr>
        <w:noBreakHyphen/>
      </w:r>
      <w:r w:rsidRPr="009B5C0D">
        <w:rPr>
          <w:color w:val="000000" w:themeColor="text1"/>
          <w:u w:color="000000" w:themeColor="text1"/>
        </w:rPr>
        <w:t>37</w:t>
      </w:r>
      <w:r>
        <w:rPr>
          <w:color w:val="000000" w:themeColor="text1"/>
          <w:u w:color="000000" w:themeColor="text1"/>
        </w:rPr>
        <w:noBreakHyphen/>
      </w:r>
      <w:r w:rsidRPr="009B5C0D">
        <w:rPr>
          <w:color w:val="000000" w:themeColor="text1"/>
          <w:u w:color="000000" w:themeColor="text1"/>
        </w:rPr>
        <w:t>2680.</w:t>
      </w:r>
      <w:r>
        <w:rPr>
          <w:color w:val="000000" w:themeColor="text1"/>
          <w:u w:color="000000" w:themeColor="text1"/>
        </w:rPr>
        <w:tab/>
      </w:r>
      <w:r w:rsidRPr="009B5C0D">
        <w:rPr>
          <w:color w:val="000000" w:themeColor="text1"/>
          <w:u w:color="000000" w:themeColor="text1"/>
        </w:rPr>
        <w:t>The assessed value of the vehicle must be determined as of the first day of the month preceding the beginning of the tax year for the vehicles. The assessed values must be published in guides or manuals by the South Carolina Department of Revenue and provided to the auditor of each county as often as may be necessary to provide for current values. When the value of any vehicle is not set forth in the guide or manual</w:t>
      </w:r>
      <w:r>
        <w:rPr>
          <w:color w:val="000000" w:themeColor="text1"/>
          <w:u w:val="single" w:color="000000" w:themeColor="text1"/>
        </w:rPr>
        <w:t>,</w:t>
      </w:r>
      <w:r w:rsidRPr="009B5C0D">
        <w:rPr>
          <w:color w:val="000000" w:themeColor="text1"/>
          <w:u w:color="000000" w:themeColor="text1"/>
        </w:rPr>
        <w:t xml:space="preserve"> the auditor shall determine the value from other available information</w:t>
      </w:r>
      <w:r w:rsidRPr="009B5C0D">
        <w:rPr>
          <w:color w:val="000000" w:themeColor="text1"/>
          <w:u w:val="single" w:color="000000" w:themeColor="text1"/>
        </w:rPr>
        <w:t>, and, in accordance with Section 12</w:t>
      </w:r>
      <w:r>
        <w:rPr>
          <w:color w:val="000000" w:themeColor="text1"/>
          <w:u w:val="single" w:color="000000" w:themeColor="text1"/>
        </w:rPr>
        <w:noBreakHyphen/>
      </w:r>
      <w:r w:rsidRPr="009B5C0D">
        <w:rPr>
          <w:color w:val="000000" w:themeColor="text1"/>
          <w:u w:val="single" w:color="000000" w:themeColor="text1"/>
        </w:rPr>
        <w:t>37</w:t>
      </w:r>
      <w:r>
        <w:rPr>
          <w:color w:val="000000" w:themeColor="text1"/>
          <w:u w:val="single" w:color="000000" w:themeColor="text1"/>
        </w:rPr>
        <w:noBreakHyphen/>
      </w:r>
      <w:r w:rsidRPr="009B5C0D">
        <w:rPr>
          <w:color w:val="000000" w:themeColor="text1"/>
          <w:u w:val="single" w:color="000000" w:themeColor="text1"/>
        </w:rPr>
        <w:t>930, the value of the vehicle may not exceed ninety</w:t>
      </w:r>
      <w:r>
        <w:rPr>
          <w:color w:val="000000" w:themeColor="text1"/>
          <w:u w:val="single" w:color="000000" w:themeColor="text1"/>
        </w:rPr>
        <w:noBreakHyphen/>
        <w:t>two</w:t>
      </w:r>
      <w:r w:rsidRPr="009B5C0D">
        <w:rPr>
          <w:color w:val="000000" w:themeColor="text1"/>
          <w:u w:val="single" w:color="000000" w:themeColor="text1"/>
        </w:rPr>
        <w:t xml:space="preserve"> percent of the prior year</w:t>
      </w:r>
      <w:r w:rsidRPr="003B1705">
        <w:rPr>
          <w:color w:val="000000" w:themeColor="text1"/>
          <w:u w:val="single" w:color="000000" w:themeColor="text1"/>
        </w:rPr>
        <w:t>’</w:t>
      </w:r>
      <w:r w:rsidRPr="009B5C0D">
        <w:rPr>
          <w:color w:val="000000" w:themeColor="text1"/>
          <w:u w:val="single" w:color="000000" w:themeColor="text1"/>
        </w:rPr>
        <w:t>s value</w:t>
      </w:r>
      <w:r w:rsidRPr="003B2BCE">
        <w:rPr>
          <w:color w:val="000000" w:themeColor="text1"/>
          <w:u w:color="000000" w:themeColor="text1"/>
        </w:rPr>
        <w:t>.</w:t>
      </w:r>
      <w:r w:rsidRPr="009B5C0D">
        <w:rPr>
          <w:color w:val="000000" w:themeColor="text1"/>
          <w:u w:color="000000" w:themeColor="text1"/>
        </w:rPr>
        <w:t>”</w:t>
      </w:r>
    </w:p>
    <w:p w:rsidR="00EC21D5" w:rsidRPr="009B5C0D" w:rsidRDefault="00EC21D5" w:rsidP="00EC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21D5" w:rsidRDefault="00EC21D5" w:rsidP="00EC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B5C0D">
        <w:rPr>
          <w:color w:val="000000" w:themeColor="text1"/>
          <w:u w:color="000000" w:themeColor="text1"/>
        </w:rPr>
        <w:t>SECTION</w:t>
      </w:r>
      <w:r>
        <w:rPr>
          <w:color w:val="000000" w:themeColor="text1"/>
          <w:u w:color="000000" w:themeColor="text1"/>
        </w:rPr>
        <w:tab/>
      </w:r>
      <w:r w:rsidR="003B2BCE">
        <w:rPr>
          <w:color w:val="000000" w:themeColor="text1"/>
          <w:u w:color="000000" w:themeColor="text1"/>
        </w:rPr>
        <w:t>4</w:t>
      </w:r>
      <w:r w:rsidRPr="009B5C0D">
        <w:rPr>
          <w:color w:val="000000" w:themeColor="text1"/>
          <w:u w:color="000000" w:themeColor="text1"/>
        </w:rPr>
        <w:t>.</w:t>
      </w:r>
      <w:r>
        <w:rPr>
          <w:color w:val="000000" w:themeColor="text1"/>
          <w:u w:color="000000" w:themeColor="text1"/>
        </w:rPr>
        <w:tab/>
      </w:r>
      <w:r w:rsidRPr="009B5C0D">
        <w:rPr>
          <w:color w:val="000000" w:themeColor="text1"/>
          <w:u w:color="000000" w:themeColor="text1"/>
        </w:rPr>
        <w:t xml:space="preserve">This </w:t>
      </w:r>
      <w:r w:rsidR="009C041A">
        <w:rPr>
          <w:color w:val="000000" w:themeColor="text1"/>
          <w:u w:color="000000" w:themeColor="text1"/>
        </w:rPr>
        <w:t>act takes effect January 1, 2018</w:t>
      </w:r>
      <w:r w:rsidRPr="009B5C0D">
        <w:rPr>
          <w:color w:val="000000" w:themeColor="text1"/>
          <w:u w:color="000000" w:themeColor="text1"/>
        </w:rPr>
        <w:t>.</w:t>
      </w:r>
    </w:p>
    <w:p w:rsidR="00526B97" w:rsidRDefault="0010776B" w:rsidP="00003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6971" w:rsidRDefault="001D6971" w:rsidP="001D6971">
      <w:pPr>
        <w:suppressAutoHyphens/>
      </w:pPr>
    </w:p>
    <w:sectPr w:rsidR="001D6971" w:rsidSect="001D697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1D5" w:rsidRDefault="00EC21D5" w:rsidP="009F0C77">
      <w:r>
        <w:separator/>
      </w:r>
    </w:p>
  </w:endnote>
  <w:endnote w:type="continuationSeparator" w:id="0">
    <w:p w:rsidR="00EC21D5" w:rsidRDefault="00EC21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F9B6A6-BA53-48C1-8B07-047F4ECB977A}"/>
    <w:embedBold r:id="rId2" w:fontKey="{2EAFBB20-A9BA-44A9-A8BF-6435DF65A082}"/>
  </w:font>
  <w:font w:name="Calibri">
    <w:panose1 w:val="020F0502020204030204"/>
    <w:charset w:val="00"/>
    <w:family w:val="swiss"/>
    <w:pitch w:val="variable"/>
    <w:sig w:usb0="E00002FF" w:usb1="4000ACFF" w:usb2="00000001" w:usb3="00000000" w:csb0="0000019F" w:csb1="00000000"/>
    <w:embedRegular r:id="rId3" w:fontKey="{2F14D258-8DA1-4D0D-AD72-F2912EE7802E}"/>
  </w:font>
  <w:font w:name="Segoe UI">
    <w:panose1 w:val="020B0502040204020203"/>
    <w:charset w:val="00"/>
    <w:family w:val="swiss"/>
    <w:pitch w:val="variable"/>
    <w:sig w:usb0="E10022FF" w:usb1="C000E47F" w:usb2="00000029" w:usb3="00000000" w:csb0="000001DF" w:csb1="00000000"/>
    <w:embedRegular r:id="rId4" w:fontKey="{757F34CE-7FCB-4F27-9C04-D80854F417C2}"/>
  </w:font>
  <w:font w:name="Cambria">
    <w:panose1 w:val="02040503050406030204"/>
    <w:charset w:val="00"/>
    <w:family w:val="roman"/>
    <w:pitch w:val="variable"/>
    <w:sig w:usb0="E00002FF" w:usb1="400004FF" w:usb2="00000000" w:usb3="00000000" w:csb0="0000019F" w:csb1="00000000"/>
    <w:embedRegular r:id="rId5" w:fontKey="{D9D433B3-8F87-48FC-A57C-7F26B97354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971" w:rsidRPr="00FE2D36" w:rsidRDefault="001D6971" w:rsidP="00FE2D36">
    <w:pPr>
      <w:pStyle w:val="Footer"/>
      <w:tabs>
        <w:tab w:val="clear" w:pos="4680"/>
        <w:tab w:val="clear" w:pos="9360"/>
        <w:tab w:val="center" w:pos="2995"/>
      </w:tabs>
      <w:spacing w:before="120"/>
    </w:pPr>
    <w:r>
      <w:t>[3082]</w:t>
    </w:r>
    <w:r>
      <w:tab/>
    </w:r>
    <w:r>
      <w:fldChar w:fldCharType="begin"/>
    </w:r>
    <w:r>
      <w:instrText xml:space="preserve"> PAGE  \* MERGEFORMAT </w:instrText>
    </w:r>
    <w:r>
      <w:fldChar w:fldCharType="separate"/>
    </w:r>
    <w:r w:rsidR="000847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1D5" w:rsidRDefault="00EC21D5" w:rsidP="009F0C77">
      <w:r>
        <w:separator/>
      </w:r>
    </w:p>
  </w:footnote>
  <w:footnote w:type="continuationSeparator" w:id="0">
    <w:p w:rsidR="00EC21D5" w:rsidRDefault="00EC21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3SA17"/>
    <w:docVar w:name="CoverBillType" w:val="b"/>
    <w:docVar w:name="docpath" w:val="L:\Council\bills\DKA\3003SA17.DOCX"/>
    <w:docVar w:name="dvBillNumber" w:val="3082"/>
    <w:docVar w:name="dvBillNumberPrefix" w:val="H. "/>
    <w:docVar w:name="dvOriginalBody" w:val="House"/>
    <w:docVar w:name="dvSteno" w:val="DKA"/>
    <w:docVar w:name="NameofBody" w:val="h"/>
    <w:docVar w:name="vgroup2" w:val="Council"/>
  </w:docVars>
  <w:rsids>
    <w:rsidRoot w:val="0066766F"/>
    <w:rsid w:val="00003C94"/>
    <w:rsid w:val="00011869"/>
    <w:rsid w:val="00015CD6"/>
    <w:rsid w:val="000847F7"/>
    <w:rsid w:val="000E1785"/>
    <w:rsid w:val="000F40FA"/>
    <w:rsid w:val="0010776B"/>
    <w:rsid w:val="00133E66"/>
    <w:rsid w:val="001435A3"/>
    <w:rsid w:val="00146ED3"/>
    <w:rsid w:val="00151044"/>
    <w:rsid w:val="001D08F2"/>
    <w:rsid w:val="001D525B"/>
    <w:rsid w:val="001D6971"/>
    <w:rsid w:val="001D7F4F"/>
    <w:rsid w:val="00205238"/>
    <w:rsid w:val="002321B6"/>
    <w:rsid w:val="00250967"/>
    <w:rsid w:val="002543C8"/>
    <w:rsid w:val="0025541D"/>
    <w:rsid w:val="00284AAE"/>
    <w:rsid w:val="002E5912"/>
    <w:rsid w:val="002F3E84"/>
    <w:rsid w:val="00301B21"/>
    <w:rsid w:val="00325348"/>
    <w:rsid w:val="0032732C"/>
    <w:rsid w:val="00336AD0"/>
    <w:rsid w:val="0037079A"/>
    <w:rsid w:val="003812A2"/>
    <w:rsid w:val="003B2BCE"/>
    <w:rsid w:val="003C4DAB"/>
    <w:rsid w:val="003D01E8"/>
    <w:rsid w:val="003D6F48"/>
    <w:rsid w:val="003E5288"/>
    <w:rsid w:val="003F6D79"/>
    <w:rsid w:val="0041760A"/>
    <w:rsid w:val="00417C01"/>
    <w:rsid w:val="004403BD"/>
    <w:rsid w:val="00461441"/>
    <w:rsid w:val="004809EE"/>
    <w:rsid w:val="004D2E82"/>
    <w:rsid w:val="004E7D54"/>
    <w:rsid w:val="00526B97"/>
    <w:rsid w:val="005273C6"/>
    <w:rsid w:val="00530A69"/>
    <w:rsid w:val="00545593"/>
    <w:rsid w:val="00577C6C"/>
    <w:rsid w:val="005C2FE2"/>
    <w:rsid w:val="005E2BC9"/>
    <w:rsid w:val="00605102"/>
    <w:rsid w:val="006215AA"/>
    <w:rsid w:val="0066766F"/>
    <w:rsid w:val="006913C9"/>
    <w:rsid w:val="0069470D"/>
    <w:rsid w:val="00734F00"/>
    <w:rsid w:val="00751C86"/>
    <w:rsid w:val="007A70AE"/>
    <w:rsid w:val="007C35FA"/>
    <w:rsid w:val="008362E8"/>
    <w:rsid w:val="008A1768"/>
    <w:rsid w:val="008F0F33"/>
    <w:rsid w:val="008F4429"/>
    <w:rsid w:val="0094021A"/>
    <w:rsid w:val="00994C97"/>
    <w:rsid w:val="009B44AF"/>
    <w:rsid w:val="009C041A"/>
    <w:rsid w:val="009C6A0B"/>
    <w:rsid w:val="009F0C77"/>
    <w:rsid w:val="009F338A"/>
    <w:rsid w:val="009F4DD1"/>
    <w:rsid w:val="00A41684"/>
    <w:rsid w:val="00A64E80"/>
    <w:rsid w:val="00A72BCD"/>
    <w:rsid w:val="00A741D9"/>
    <w:rsid w:val="00A833AB"/>
    <w:rsid w:val="00A9741D"/>
    <w:rsid w:val="00AD4B17"/>
    <w:rsid w:val="00B412D4"/>
    <w:rsid w:val="00BA2574"/>
    <w:rsid w:val="00BE3C22"/>
    <w:rsid w:val="00C0345E"/>
    <w:rsid w:val="00C2180B"/>
    <w:rsid w:val="00C3483A"/>
    <w:rsid w:val="00C74E9D"/>
    <w:rsid w:val="00C82FD3"/>
    <w:rsid w:val="00C92819"/>
    <w:rsid w:val="00CC6B7B"/>
    <w:rsid w:val="00CD2089"/>
    <w:rsid w:val="00D733EA"/>
    <w:rsid w:val="00D73A67"/>
    <w:rsid w:val="00D970A9"/>
    <w:rsid w:val="00DF3845"/>
    <w:rsid w:val="00E41911"/>
    <w:rsid w:val="00E531B8"/>
    <w:rsid w:val="00E71A15"/>
    <w:rsid w:val="00E92EEF"/>
    <w:rsid w:val="00EC21D5"/>
    <w:rsid w:val="00ED39E7"/>
    <w:rsid w:val="00EF2368"/>
    <w:rsid w:val="00F24442"/>
    <w:rsid w:val="00F50AE3"/>
    <w:rsid w:val="00F656BA"/>
    <w:rsid w:val="00F67CF1"/>
    <w:rsid w:val="00F840F0"/>
    <w:rsid w:val="00FB0D0D"/>
    <w:rsid w:val="00FB43B4"/>
    <w:rsid w:val="00FE2D3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71B3D9-C9E5-4C6D-A8D5-D8D36727C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1C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1C86"/>
    <w:rPr>
      <w:rFonts w:ascii="Segoe UI" w:eastAsia="Times New Roman" w:hAnsi="Segoe UI" w:cs="Segoe UI"/>
      <w:sz w:val="18"/>
      <w:szCs w:val="18"/>
    </w:rPr>
  </w:style>
  <w:style w:type="character" w:styleId="Hyperlink">
    <w:name w:val="Hyperlink"/>
    <w:basedOn w:val="DefaultParagraphFont"/>
    <w:uiPriority w:val="99"/>
    <w:unhideWhenUsed/>
    <w:rsid w:val="001D69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82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8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5AFFA-F92F-4844-AAC0-866C69BAA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640</Words>
  <Characters>3653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3082: Vehicle Tax Notice - South Carolina Legislature Online</dc:title>
  <dc:creator>sharonpair</dc:creator>
  <cp:lastModifiedBy>S Volk</cp:lastModifiedBy>
  <cp:revision>2</cp:revision>
  <cp:lastPrinted>2016-11-30T20:18:00Z</cp:lastPrinted>
  <dcterms:created xsi:type="dcterms:W3CDTF">2017-01-11T17:15:00Z</dcterms:created>
  <dcterms:modified xsi:type="dcterms:W3CDTF">2017-01-11T17:15:00Z</dcterms:modified>
</cp:coreProperties>
</file>