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05D7">
        <w:rPr>
          <w:rFonts w:eastAsia="Times New Roman" w:cs="Times New Roman"/>
          <w:b/>
          <w:szCs w:val="20"/>
        </w:rPr>
        <w:t>South Carolina General Assembly</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05D7">
        <w:rPr>
          <w:rFonts w:eastAsia="Times New Roman" w:cs="Times New Roman"/>
          <w:szCs w:val="20"/>
        </w:rPr>
        <w:t>122nd Session, 2017-2018</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7B28A1"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A92, R118, H4003</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b/>
          <w:szCs w:val="20"/>
        </w:rPr>
        <w:t>STATUS INFORMATION</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szCs w:val="20"/>
        </w:rPr>
        <w:t>General Bill</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szCs w:val="20"/>
        </w:rPr>
        <w:t>Sponsors: Reps. Hiott, Hewitt, Davis, Forrest, Bennett, West, Ott, Atkinson and Hixon</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szCs w:val="20"/>
        </w:rPr>
        <w:t>Document Path: l:\council\bills\cc\15120vr17.docx</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2017</w:t>
      </w: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2017</w:t>
      </w: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A97688" w:rsidRDefault="00A97688"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szCs w:val="20"/>
        </w:rPr>
        <w:t>Summary: Produce Safety Act</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5605D7" w:rsidP="005605D7">
      <w:pPr>
        <w:widowControl w:val="0"/>
        <w:tabs>
          <w:tab w:val="center" w:pos="590"/>
          <w:tab w:val="center" w:pos="1440"/>
          <w:tab w:val="left" w:pos="1872"/>
          <w:tab w:val="left" w:pos="9187"/>
        </w:tabs>
        <w:rPr>
          <w:rFonts w:eastAsia="Times New Roman" w:cs="Times New Roman"/>
          <w:szCs w:val="20"/>
        </w:rPr>
      </w:pPr>
      <w:r w:rsidRPr="005605D7">
        <w:rPr>
          <w:rFonts w:eastAsia="Times New Roman" w:cs="Times New Roman"/>
          <w:b/>
          <w:szCs w:val="20"/>
        </w:rPr>
        <w:t>HISTORY OF LEGISLATIVE ACTIONS</w:t>
      </w:r>
    </w:p>
    <w:p w:rsidR="005605D7" w:rsidRPr="005605D7" w:rsidRDefault="005605D7" w:rsidP="005605D7">
      <w:pPr>
        <w:widowControl w:val="0"/>
        <w:tabs>
          <w:tab w:val="center" w:pos="590"/>
          <w:tab w:val="center" w:pos="1440"/>
          <w:tab w:val="left" w:pos="1872"/>
          <w:tab w:val="left" w:pos="9187"/>
        </w:tabs>
        <w:rPr>
          <w:rFonts w:eastAsia="Times New Roman" w:cs="Times New Roman"/>
          <w:szCs w:val="20"/>
        </w:rPr>
      </w:pPr>
    </w:p>
    <w:p w:rsidR="005605D7" w:rsidRPr="005605D7" w:rsidRDefault="005605D7" w:rsidP="005605D7">
      <w:pPr>
        <w:widowControl w:val="0"/>
        <w:tabs>
          <w:tab w:val="center" w:pos="590"/>
          <w:tab w:val="center" w:pos="1440"/>
          <w:tab w:val="left" w:pos="1872"/>
          <w:tab w:val="left" w:pos="9187"/>
        </w:tabs>
        <w:rPr>
          <w:rFonts w:eastAsia="Times New Roman" w:cs="Times New Roman"/>
          <w:szCs w:val="20"/>
        </w:rPr>
      </w:pPr>
      <w:r w:rsidRPr="005605D7">
        <w:rPr>
          <w:rFonts w:eastAsia="Times New Roman" w:cs="Times New Roman"/>
          <w:szCs w:val="20"/>
          <w:u w:val="single"/>
        </w:rPr>
        <w:tab/>
        <w:t>Date</w:t>
      </w:r>
      <w:r w:rsidRPr="005605D7">
        <w:rPr>
          <w:rFonts w:eastAsia="Times New Roman" w:cs="Times New Roman"/>
          <w:szCs w:val="20"/>
          <w:u w:val="single"/>
        </w:rPr>
        <w:tab/>
        <w:t>Body</w:t>
      </w:r>
      <w:r w:rsidRPr="005605D7">
        <w:rPr>
          <w:rFonts w:eastAsia="Times New Roman" w:cs="Times New Roman"/>
          <w:szCs w:val="20"/>
          <w:u w:val="single"/>
        </w:rPr>
        <w:tab/>
        <w:t>Action Description with journal page number</w:t>
      </w:r>
      <w:r w:rsidRPr="005605D7">
        <w:rPr>
          <w:rFonts w:eastAsia="Times New Roman" w:cs="Times New Roman"/>
          <w:szCs w:val="20"/>
          <w:u w:val="single"/>
        </w:rPr>
        <w:tab/>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3F4BE0">
        <w:rPr>
          <w:rFonts w:cs="Times New Roman"/>
        </w:rPr>
        <w:t>Introduced and read first time (</w:t>
      </w:r>
      <w:hyperlink r:id="rId7" w:history="1">
        <w:r w:rsidRPr="003F4BE0">
          <w:rPr>
            <w:rStyle w:val="Hyperlink"/>
            <w:rFonts w:cs="Times New Roman"/>
          </w:rPr>
          <w:t>House Journal</w:t>
        </w:r>
        <w:r w:rsidRPr="003F4BE0">
          <w:rPr>
            <w:rStyle w:val="Hyperlink"/>
            <w:rFonts w:cs="Times New Roman"/>
          </w:rPr>
          <w:noBreakHyphen/>
          <w:t>page 9</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House</w:t>
      </w:r>
      <w:r>
        <w:rPr>
          <w:rFonts w:cs="Times New Roman"/>
        </w:rPr>
        <w:tab/>
      </w:r>
      <w:r w:rsidRPr="003F4BE0">
        <w:rPr>
          <w:rFonts w:cs="Times New Roman"/>
        </w:rPr>
        <w:t>Referred to Co</w:t>
      </w:r>
      <w:r>
        <w:rPr>
          <w:rFonts w:cs="Times New Roman"/>
        </w:rPr>
        <w:t xml:space="preserve">mmittee on </w:t>
      </w:r>
      <w:r w:rsidRPr="003F4BE0">
        <w:rPr>
          <w:rFonts w:cs="Times New Roman"/>
          <w:b/>
        </w:rPr>
        <w:t>Agriculture, Natural Resources and Environmental Affairs</w:t>
      </w:r>
      <w:r>
        <w:rPr>
          <w:rFonts w:cs="Times New Roman"/>
        </w:rPr>
        <w:t xml:space="preserve"> </w:t>
      </w:r>
      <w:r w:rsidRPr="003F4BE0">
        <w:rPr>
          <w:rFonts w:cs="Times New Roman"/>
        </w:rPr>
        <w:t>(</w:t>
      </w:r>
      <w:hyperlink r:id="rId8" w:history="1">
        <w:r w:rsidRPr="003F4BE0">
          <w:rPr>
            <w:rStyle w:val="Hyperlink"/>
            <w:rFonts w:cs="Times New Roman"/>
          </w:rPr>
          <w:t>House Journal</w:t>
        </w:r>
        <w:r w:rsidRPr="003F4BE0">
          <w:rPr>
            <w:rStyle w:val="Hyperlink"/>
            <w:rFonts w:cs="Times New Roman"/>
          </w:rPr>
          <w:noBreakHyphen/>
          <w:t>page 9</w:t>
        </w:r>
      </w:hyperlink>
      <w:bookmarkStart w:id="0" w:name="_GoBack"/>
      <w:bookmarkEnd w:id="0"/>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3F4BE0">
        <w:rPr>
          <w:rFonts w:cs="Times New Roman"/>
        </w:rPr>
        <w:t xml:space="preserve">Member(s) request name added as sponsor: </w:t>
      </w:r>
      <w:r>
        <w:rPr>
          <w:rFonts w:cs="Times New Roman"/>
        </w:rPr>
        <w:t xml:space="preserve">Hewitt, </w:t>
      </w:r>
      <w:r w:rsidRPr="003F4BE0">
        <w:rPr>
          <w:rFonts w:cs="Times New Roman"/>
        </w:rPr>
        <w:t>Davis, Forrest, Bennett, West, Ott, Atkinson</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3F4BE0">
        <w:rPr>
          <w:rFonts w:cs="Times New Roman"/>
        </w:rPr>
        <w:t>Committee r</w:t>
      </w:r>
      <w:r>
        <w:rPr>
          <w:rFonts w:cs="Times New Roman"/>
        </w:rPr>
        <w:t xml:space="preserve">eport: Favorable with amendment </w:t>
      </w:r>
      <w:r w:rsidRPr="003F4BE0">
        <w:rPr>
          <w:rFonts w:cs="Times New Roman"/>
          <w:b/>
        </w:rPr>
        <w:t>Agriculture, Natural Resources and Environmental Affairs</w:t>
      </w:r>
      <w:r w:rsidRPr="003F4BE0">
        <w:rPr>
          <w:rFonts w:cs="Times New Roman"/>
        </w:rPr>
        <w:t xml:space="preserve"> (</w:t>
      </w:r>
      <w:hyperlink r:id="rId9" w:history="1">
        <w:r w:rsidRPr="003F4BE0">
          <w:rPr>
            <w:rStyle w:val="Hyperlink"/>
            <w:rFonts w:cs="Times New Roman"/>
          </w:rPr>
          <w:t>House Journal</w:t>
        </w:r>
        <w:r w:rsidRPr="003F4BE0">
          <w:rPr>
            <w:rStyle w:val="Hyperlink"/>
            <w:rFonts w:cs="Times New Roman"/>
          </w:rPr>
          <w:noBreakHyphen/>
          <w:t>page 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3F4BE0">
        <w:rPr>
          <w:rFonts w:cs="Times New Roman"/>
        </w:rPr>
        <w:t>Member(s) request name added as sponsor: Hixon</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3F4BE0">
        <w:rPr>
          <w:rFonts w:cs="Times New Roman"/>
        </w:rPr>
        <w:t>Amended (</w:t>
      </w:r>
      <w:hyperlink r:id="rId10" w:history="1">
        <w:r w:rsidRPr="003F4BE0">
          <w:rPr>
            <w:rStyle w:val="Hyperlink"/>
            <w:rFonts w:cs="Times New Roman"/>
          </w:rPr>
          <w:t>House Journal</w:t>
        </w:r>
        <w:r w:rsidRPr="003F4BE0">
          <w:rPr>
            <w:rStyle w:val="Hyperlink"/>
            <w:rFonts w:cs="Times New Roman"/>
          </w:rPr>
          <w:noBreakHyphen/>
          <w:t>page 53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3F4BE0">
        <w:rPr>
          <w:rFonts w:cs="Times New Roman"/>
        </w:rPr>
        <w:t>Read second time (</w:t>
      </w:r>
      <w:hyperlink r:id="rId11" w:history="1">
        <w:r w:rsidRPr="003F4BE0">
          <w:rPr>
            <w:rStyle w:val="Hyperlink"/>
            <w:rFonts w:cs="Times New Roman"/>
          </w:rPr>
          <w:t>House Journal</w:t>
        </w:r>
        <w:r w:rsidRPr="003F4BE0">
          <w:rPr>
            <w:rStyle w:val="Hyperlink"/>
            <w:rFonts w:cs="Times New Roman"/>
          </w:rPr>
          <w:noBreakHyphen/>
          <w:t>page 53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3F4BE0">
        <w:rPr>
          <w:rFonts w:cs="Times New Roman"/>
        </w:rPr>
        <w:t>Roll call Yeas</w:t>
      </w:r>
      <w:r>
        <w:rPr>
          <w:rFonts w:cs="Times New Roman"/>
        </w:rPr>
        <w:noBreakHyphen/>
      </w:r>
      <w:r w:rsidRPr="003F4BE0">
        <w:rPr>
          <w:rFonts w:cs="Times New Roman"/>
        </w:rPr>
        <w:t>100  Nays</w:t>
      </w:r>
      <w:r>
        <w:rPr>
          <w:rFonts w:cs="Times New Roman"/>
        </w:rPr>
        <w:noBreakHyphen/>
      </w:r>
      <w:r w:rsidRPr="003F4BE0">
        <w:rPr>
          <w:rFonts w:cs="Times New Roman"/>
        </w:rPr>
        <w:t>11 (</w:t>
      </w:r>
      <w:hyperlink r:id="rId12" w:history="1">
        <w:r w:rsidRPr="003F4BE0">
          <w:rPr>
            <w:rStyle w:val="Hyperlink"/>
            <w:rFonts w:cs="Times New Roman"/>
          </w:rPr>
          <w:t>House Journal</w:t>
        </w:r>
        <w:r w:rsidRPr="003F4BE0">
          <w:rPr>
            <w:rStyle w:val="Hyperlink"/>
            <w:rFonts w:cs="Times New Roman"/>
          </w:rPr>
          <w:noBreakHyphen/>
          <w:t>page 54</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3F4BE0">
        <w:rPr>
          <w:rFonts w:cs="Times New Roman"/>
        </w:rPr>
        <w:t>Rea</w:t>
      </w:r>
      <w:r>
        <w:rPr>
          <w:rFonts w:cs="Times New Roman"/>
        </w:rPr>
        <w:t xml:space="preserve">d third time and sent to Senate </w:t>
      </w:r>
      <w:r w:rsidRPr="003F4BE0">
        <w:rPr>
          <w:rFonts w:cs="Times New Roman"/>
        </w:rPr>
        <w:t>(</w:t>
      </w:r>
      <w:hyperlink r:id="rId13" w:history="1">
        <w:r w:rsidRPr="003F4BE0">
          <w:rPr>
            <w:rStyle w:val="Hyperlink"/>
            <w:rFonts w:cs="Times New Roman"/>
          </w:rPr>
          <w:t>House Journal</w:t>
        </w:r>
        <w:r w:rsidRPr="003F4BE0">
          <w:rPr>
            <w:rStyle w:val="Hyperlink"/>
            <w:rFonts w:cs="Times New Roman"/>
          </w:rPr>
          <w:noBreakHyphen/>
          <w:t>page 12</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3F4BE0">
        <w:rPr>
          <w:rFonts w:cs="Times New Roman"/>
        </w:rPr>
        <w:t>Introduced and read first time (</w:t>
      </w:r>
      <w:hyperlink r:id="rId14" w:history="1">
        <w:r w:rsidRPr="003F4BE0">
          <w:rPr>
            <w:rStyle w:val="Hyperlink"/>
            <w:rFonts w:cs="Times New Roman"/>
          </w:rPr>
          <w:t>Senate Journal</w:t>
        </w:r>
        <w:r w:rsidRPr="003F4BE0">
          <w:rPr>
            <w:rStyle w:val="Hyperlink"/>
            <w:rFonts w:cs="Times New Roman"/>
          </w:rPr>
          <w:noBreakHyphen/>
          <w:t>page 15</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3F4BE0">
        <w:rPr>
          <w:rFonts w:cs="Times New Roman"/>
        </w:rPr>
        <w:t>Referred to Commi</w:t>
      </w:r>
      <w:r>
        <w:rPr>
          <w:rFonts w:cs="Times New Roman"/>
        </w:rPr>
        <w:t xml:space="preserve">ttee on </w:t>
      </w:r>
      <w:r w:rsidRPr="003F4BE0">
        <w:rPr>
          <w:rFonts w:cs="Times New Roman"/>
          <w:b/>
        </w:rPr>
        <w:t>Agriculture and Natural Resources</w:t>
      </w:r>
      <w:r w:rsidRPr="003F4BE0">
        <w:rPr>
          <w:rFonts w:cs="Times New Roman"/>
        </w:rPr>
        <w:t xml:space="preserve"> (</w:t>
      </w:r>
      <w:hyperlink r:id="rId15" w:history="1">
        <w:r w:rsidRPr="003F4BE0">
          <w:rPr>
            <w:rStyle w:val="Hyperlink"/>
            <w:rFonts w:cs="Times New Roman"/>
          </w:rPr>
          <w:t>Senate Journal</w:t>
        </w:r>
        <w:r w:rsidRPr="003F4BE0">
          <w:rPr>
            <w:rStyle w:val="Hyperlink"/>
            <w:rFonts w:cs="Times New Roman"/>
          </w:rPr>
          <w:noBreakHyphen/>
          <w:t>page 15</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3F4BE0">
        <w:rPr>
          <w:rFonts w:cs="Times New Roman"/>
        </w:rPr>
        <w:t>Committee re</w:t>
      </w:r>
      <w:r>
        <w:rPr>
          <w:rFonts w:cs="Times New Roman"/>
        </w:rPr>
        <w:t xml:space="preserve">port: Favorable </w:t>
      </w:r>
      <w:r w:rsidRPr="003F4BE0">
        <w:rPr>
          <w:rFonts w:cs="Times New Roman"/>
          <w:b/>
        </w:rPr>
        <w:t>Agriculture and Natural Resources</w:t>
      </w:r>
      <w:r w:rsidRPr="003F4BE0">
        <w:rPr>
          <w:rFonts w:cs="Times New Roman"/>
        </w:rPr>
        <w:t xml:space="preserve"> (</w:t>
      </w:r>
      <w:hyperlink r:id="rId16" w:history="1">
        <w:r w:rsidRPr="003F4BE0">
          <w:rPr>
            <w:rStyle w:val="Hyperlink"/>
            <w:rFonts w:cs="Times New Roman"/>
          </w:rPr>
          <w:t>Senate Journal</w:t>
        </w:r>
        <w:r w:rsidRPr="003F4BE0">
          <w:rPr>
            <w:rStyle w:val="Hyperlink"/>
            <w:rFonts w:cs="Times New Roman"/>
          </w:rPr>
          <w:noBreakHyphen/>
          <w:t>page 11</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3F4BE0">
        <w:rPr>
          <w:rFonts w:cs="Times New Roman"/>
        </w:rPr>
        <w:t>Amended (</w:t>
      </w:r>
      <w:hyperlink r:id="rId17" w:history="1">
        <w:r w:rsidRPr="003F4BE0">
          <w:rPr>
            <w:rStyle w:val="Hyperlink"/>
            <w:rFonts w:cs="Times New Roman"/>
          </w:rPr>
          <w:t>Senate Journal</w:t>
        </w:r>
        <w:r w:rsidRPr="003F4BE0">
          <w:rPr>
            <w:rStyle w:val="Hyperlink"/>
            <w:rFonts w:cs="Times New Roman"/>
          </w:rPr>
          <w:noBreakHyphen/>
          <w:t>page 43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3F4BE0">
        <w:rPr>
          <w:rFonts w:cs="Times New Roman"/>
        </w:rPr>
        <w:t>Read second time (</w:t>
      </w:r>
      <w:hyperlink r:id="rId18" w:history="1">
        <w:r w:rsidRPr="003F4BE0">
          <w:rPr>
            <w:rStyle w:val="Hyperlink"/>
            <w:rFonts w:cs="Times New Roman"/>
          </w:rPr>
          <w:t>Senate Journal</w:t>
        </w:r>
        <w:r w:rsidRPr="003F4BE0">
          <w:rPr>
            <w:rStyle w:val="Hyperlink"/>
            <w:rFonts w:cs="Times New Roman"/>
          </w:rPr>
          <w:noBreakHyphen/>
          <w:t>page 43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3F4BE0">
        <w:rPr>
          <w:rFonts w:cs="Times New Roman"/>
        </w:rPr>
        <w:t>Roll call Ayes</w:t>
      </w:r>
      <w:r>
        <w:rPr>
          <w:rFonts w:cs="Times New Roman"/>
        </w:rPr>
        <w:noBreakHyphen/>
      </w:r>
      <w:r w:rsidRPr="003F4BE0">
        <w:rPr>
          <w:rFonts w:cs="Times New Roman"/>
        </w:rPr>
        <w:t>37  Nays</w:t>
      </w:r>
      <w:r>
        <w:rPr>
          <w:rFonts w:cs="Times New Roman"/>
        </w:rPr>
        <w:noBreakHyphen/>
      </w:r>
      <w:r w:rsidRPr="003F4BE0">
        <w:rPr>
          <w:rFonts w:cs="Times New Roman"/>
        </w:rPr>
        <w:t>0 (</w:t>
      </w:r>
      <w:hyperlink r:id="rId19" w:history="1">
        <w:r w:rsidRPr="003F4BE0">
          <w:rPr>
            <w:rStyle w:val="Hyperlink"/>
            <w:rFonts w:cs="Times New Roman"/>
          </w:rPr>
          <w:t>Senate Journal</w:t>
        </w:r>
        <w:r w:rsidRPr="003F4BE0">
          <w:rPr>
            <w:rStyle w:val="Hyperlink"/>
            <w:rFonts w:cs="Times New Roman"/>
          </w:rPr>
          <w:noBreakHyphen/>
          <w:t>page 43</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3F4BE0">
        <w:rPr>
          <w:rFonts w:cs="Times New Roman"/>
        </w:rPr>
        <w:t xml:space="preserve">Read third </w:t>
      </w:r>
      <w:r>
        <w:rPr>
          <w:rFonts w:cs="Times New Roman"/>
        </w:rPr>
        <w:t xml:space="preserve">time and returned to House with </w:t>
      </w:r>
      <w:r w:rsidRPr="003F4BE0">
        <w:rPr>
          <w:rFonts w:cs="Times New Roman"/>
        </w:rPr>
        <w:t>amendments (</w:t>
      </w:r>
      <w:hyperlink r:id="rId20" w:history="1">
        <w:r w:rsidRPr="003F4BE0">
          <w:rPr>
            <w:rStyle w:val="Hyperlink"/>
            <w:rFonts w:cs="Times New Roman"/>
          </w:rPr>
          <w:t>Senate Journal</w:t>
        </w:r>
        <w:r w:rsidRPr="003F4BE0">
          <w:rPr>
            <w:rStyle w:val="Hyperlink"/>
            <w:rFonts w:cs="Times New Roman"/>
          </w:rPr>
          <w:noBreakHyphen/>
          <w:t>page 16</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3F4BE0">
        <w:rPr>
          <w:rFonts w:cs="Times New Roman"/>
        </w:rPr>
        <w:t>Scrivener's error corrected</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3F4BE0">
        <w:rPr>
          <w:rFonts w:cs="Times New Roman"/>
        </w:rPr>
        <w:t>Concurred i</w:t>
      </w:r>
      <w:r>
        <w:rPr>
          <w:rFonts w:cs="Times New Roman"/>
        </w:rPr>
        <w:t xml:space="preserve">n Senate amendment and enrolled </w:t>
      </w:r>
      <w:r w:rsidRPr="003F4BE0">
        <w:rPr>
          <w:rFonts w:cs="Times New Roman"/>
        </w:rPr>
        <w:t>(</w:t>
      </w:r>
      <w:hyperlink r:id="rId21" w:history="1">
        <w:r w:rsidRPr="003F4BE0">
          <w:rPr>
            <w:rStyle w:val="Hyperlink"/>
            <w:rFonts w:cs="Times New Roman"/>
          </w:rPr>
          <w:t>House Journal</w:t>
        </w:r>
        <w:r w:rsidRPr="003F4BE0">
          <w:rPr>
            <w:rStyle w:val="Hyperlink"/>
            <w:rFonts w:cs="Times New Roman"/>
          </w:rPr>
          <w:noBreakHyphen/>
          <w:t>page 26</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3F4BE0">
        <w:rPr>
          <w:rFonts w:cs="Times New Roman"/>
        </w:rPr>
        <w:t>Roll call Yeas</w:t>
      </w:r>
      <w:r>
        <w:rPr>
          <w:rFonts w:cs="Times New Roman"/>
        </w:rPr>
        <w:noBreakHyphen/>
      </w:r>
      <w:r w:rsidRPr="003F4BE0">
        <w:rPr>
          <w:rFonts w:cs="Times New Roman"/>
        </w:rPr>
        <w:t>98  Nays</w:t>
      </w:r>
      <w:r>
        <w:rPr>
          <w:rFonts w:cs="Times New Roman"/>
        </w:rPr>
        <w:noBreakHyphen/>
      </w:r>
      <w:r w:rsidRPr="003F4BE0">
        <w:rPr>
          <w:rFonts w:cs="Times New Roman"/>
        </w:rPr>
        <w:t>0 (</w:t>
      </w:r>
      <w:hyperlink r:id="rId22" w:history="1">
        <w:r w:rsidRPr="003F4BE0">
          <w:rPr>
            <w:rStyle w:val="Hyperlink"/>
            <w:rFonts w:cs="Times New Roman"/>
          </w:rPr>
          <w:t>House Journal</w:t>
        </w:r>
        <w:r w:rsidRPr="003F4BE0">
          <w:rPr>
            <w:rStyle w:val="Hyperlink"/>
            <w:rFonts w:cs="Times New Roman"/>
          </w:rPr>
          <w:noBreakHyphen/>
          <w:t>page 27</w:t>
        </w:r>
      </w:hyperlink>
      <w:r w:rsidRPr="003F4BE0">
        <w:rPr>
          <w:rFonts w:cs="Times New Roman"/>
        </w:rPr>
        <w:t>)</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3F4BE0">
        <w:rPr>
          <w:rFonts w:cs="Times New Roman"/>
        </w:rPr>
        <w:t>Ratified R 118</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3F4BE0">
        <w:rPr>
          <w:rFonts w:cs="Times New Roman"/>
        </w:rPr>
        <w:t>Signed By Governor</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5/30/2017</w:t>
      </w:r>
      <w:r>
        <w:rPr>
          <w:rFonts w:cs="Times New Roman"/>
        </w:rPr>
        <w:tab/>
      </w:r>
      <w:r>
        <w:rPr>
          <w:rFonts w:cs="Times New Roman"/>
        </w:rPr>
        <w:tab/>
      </w:r>
      <w:r w:rsidRPr="003F4BE0">
        <w:rPr>
          <w:rFonts w:cs="Times New Roman"/>
        </w:rPr>
        <w:t>Effective date 05/19/17</w:t>
      </w:r>
    </w:p>
    <w:p w:rsidR="007B28A1" w:rsidRDefault="007B28A1" w:rsidP="007B28A1">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3F4BE0">
        <w:rPr>
          <w:rFonts w:cs="Times New Roman"/>
        </w:rPr>
        <w:t>Act No</w:t>
      </w:r>
      <w:r>
        <w:rPr>
          <w:rFonts w:cs="Times New Roman"/>
        </w:rPr>
        <w:t>. </w:t>
      </w:r>
      <w:r w:rsidRPr="003F4BE0">
        <w:rPr>
          <w:rFonts w:cs="Times New Roman"/>
        </w:rPr>
        <w:t>92</w:t>
      </w:r>
    </w:p>
    <w:p w:rsidR="007B28A1" w:rsidRDefault="007B28A1" w:rsidP="007B28A1">
      <w:pPr>
        <w:widowControl w:val="0"/>
        <w:tabs>
          <w:tab w:val="right" w:pos="1008"/>
          <w:tab w:val="left" w:pos="1152"/>
          <w:tab w:val="left" w:pos="1872"/>
          <w:tab w:val="left" w:pos="9187"/>
        </w:tabs>
        <w:ind w:left="2088" w:hanging="2088"/>
        <w:rPr>
          <w:rFonts w:cs="Times New Roman"/>
        </w:rPr>
      </w:pPr>
    </w:p>
    <w:p w:rsidR="005605D7" w:rsidRPr="005605D7" w:rsidRDefault="005605D7" w:rsidP="005605D7">
      <w:pPr>
        <w:widowControl w:val="0"/>
        <w:tabs>
          <w:tab w:val="right" w:pos="1008"/>
          <w:tab w:val="left" w:pos="1152"/>
          <w:tab w:val="left" w:pos="1872"/>
          <w:tab w:val="left" w:pos="9187"/>
        </w:tabs>
        <w:ind w:left="2088" w:hanging="2088"/>
        <w:rPr>
          <w:rFonts w:eastAsia="Times New Roman" w:cs="Times New Roman"/>
          <w:szCs w:val="20"/>
        </w:rPr>
      </w:pPr>
      <w:r w:rsidRPr="005605D7">
        <w:rPr>
          <w:rFonts w:eastAsia="Times New Roman" w:cs="Times New Roman"/>
          <w:szCs w:val="20"/>
        </w:rPr>
        <w:t xml:space="preserve">View the latest </w:t>
      </w:r>
      <w:hyperlink r:id="rId23" w:history="1">
        <w:r w:rsidRPr="005605D7">
          <w:rPr>
            <w:rFonts w:eastAsia="Times New Roman" w:cs="Times New Roman"/>
            <w:color w:val="0000FF" w:themeColor="hyperlink"/>
            <w:szCs w:val="20"/>
            <w:u w:val="single"/>
          </w:rPr>
          <w:t>legislative information</w:t>
        </w:r>
      </w:hyperlink>
      <w:r w:rsidRPr="005605D7">
        <w:rPr>
          <w:rFonts w:eastAsia="Times New Roman" w:cs="Times New Roman"/>
          <w:szCs w:val="20"/>
        </w:rPr>
        <w:t xml:space="preserve"> at the website</w:t>
      </w:r>
    </w:p>
    <w:p w:rsidR="005605D7" w:rsidRPr="005605D7" w:rsidRDefault="005605D7" w:rsidP="005605D7">
      <w:pPr>
        <w:widowControl w:val="0"/>
        <w:tabs>
          <w:tab w:val="right" w:pos="1008"/>
          <w:tab w:val="left" w:pos="1152"/>
          <w:tab w:val="left" w:pos="1872"/>
          <w:tab w:val="left" w:pos="9187"/>
        </w:tabs>
        <w:ind w:left="2088" w:hanging="2088"/>
        <w:rPr>
          <w:rFonts w:eastAsia="Times New Roman" w:cs="Times New Roman"/>
          <w:szCs w:val="20"/>
        </w:rPr>
      </w:pPr>
    </w:p>
    <w:p w:rsidR="005605D7" w:rsidRPr="005605D7" w:rsidRDefault="005605D7" w:rsidP="005605D7">
      <w:pPr>
        <w:widowControl w:val="0"/>
        <w:tabs>
          <w:tab w:val="right" w:pos="1008"/>
          <w:tab w:val="left" w:pos="1152"/>
          <w:tab w:val="left" w:pos="1872"/>
          <w:tab w:val="left" w:pos="9187"/>
        </w:tabs>
        <w:ind w:left="2088" w:hanging="2088"/>
        <w:rPr>
          <w:rFonts w:eastAsia="Times New Roman" w:cs="Times New Roman"/>
          <w:szCs w:val="20"/>
        </w:rPr>
      </w:pP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05D7">
        <w:rPr>
          <w:rFonts w:eastAsia="Times New Roman" w:cs="Times New Roman"/>
          <w:b/>
          <w:szCs w:val="20"/>
        </w:rPr>
        <w:t>VERSIONS OF THIS BILL</w:t>
      </w:r>
    </w:p>
    <w:p w:rsidR="005605D7" w:rsidRPr="005605D7" w:rsidRDefault="005605D7"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05D7" w:rsidRPr="005605D7" w:rsidRDefault="009F3BA3" w:rsidP="005605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5605D7" w:rsidRPr="005605D7">
          <w:rPr>
            <w:rFonts w:eastAsia="Times New Roman" w:cs="Times New Roman"/>
            <w:color w:val="0000FF" w:themeColor="hyperlink"/>
            <w:szCs w:val="20"/>
            <w:u w:val="single"/>
          </w:rPr>
          <w:t>3/15/2017</w:t>
        </w:r>
      </w:hyperlink>
    </w:p>
    <w:p w:rsidR="005605D7" w:rsidRPr="005605D7" w:rsidRDefault="009F3BA3"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605D7" w:rsidRPr="005605D7">
          <w:rPr>
            <w:rFonts w:eastAsia="Times New Roman" w:cs="Times New Roman"/>
            <w:color w:val="0000FF" w:themeColor="hyperlink"/>
            <w:szCs w:val="20"/>
            <w:u w:val="single"/>
          </w:rPr>
          <w:t>3/23/2017</w:t>
        </w:r>
      </w:hyperlink>
    </w:p>
    <w:p w:rsidR="005605D7" w:rsidRPr="005605D7" w:rsidRDefault="009F3BA3"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605D7" w:rsidRPr="005605D7">
          <w:rPr>
            <w:rFonts w:eastAsia="Times New Roman" w:cs="Times New Roman"/>
            <w:color w:val="0000FF" w:themeColor="hyperlink"/>
            <w:szCs w:val="20"/>
            <w:u w:val="single"/>
          </w:rPr>
          <w:t>3/28/2017</w:t>
        </w:r>
      </w:hyperlink>
    </w:p>
    <w:p w:rsidR="005605D7" w:rsidRPr="005605D7" w:rsidRDefault="009F3BA3"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605D7" w:rsidRPr="005605D7">
          <w:rPr>
            <w:rFonts w:eastAsia="Times New Roman" w:cs="Times New Roman"/>
            <w:color w:val="0000FF" w:themeColor="hyperlink"/>
            <w:szCs w:val="20"/>
            <w:u w:val="single"/>
          </w:rPr>
          <w:t>4/20/2017</w:t>
        </w:r>
      </w:hyperlink>
    </w:p>
    <w:p w:rsidR="005605D7" w:rsidRPr="005605D7" w:rsidRDefault="009F3BA3"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605D7" w:rsidRPr="005605D7">
          <w:rPr>
            <w:rFonts w:eastAsia="Times New Roman" w:cs="Times New Roman"/>
            <w:color w:val="0000FF" w:themeColor="hyperlink"/>
            <w:szCs w:val="20"/>
            <w:u w:val="single"/>
          </w:rPr>
          <w:t>5/3/2017</w:t>
        </w:r>
      </w:hyperlink>
    </w:p>
    <w:p w:rsidR="005605D7" w:rsidRPr="005605D7" w:rsidRDefault="009F3BA3"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605D7" w:rsidRPr="005605D7">
          <w:rPr>
            <w:rFonts w:eastAsia="Times New Roman" w:cs="Times New Roman"/>
            <w:color w:val="0000FF" w:themeColor="hyperlink"/>
            <w:szCs w:val="20"/>
            <w:u w:val="single"/>
          </w:rPr>
          <w:t>5/4/2017</w:t>
        </w:r>
      </w:hyperlink>
    </w:p>
    <w:p w:rsidR="005605D7" w:rsidRPr="005605D7" w:rsidRDefault="005605D7"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05D7" w:rsidRDefault="005605D7" w:rsidP="0056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05D7" w:rsidSect="005605D7">
          <w:pgSz w:w="12240" w:h="15840" w:code="1"/>
          <w:pgMar w:top="1080" w:right="1440" w:bottom="1080" w:left="1440" w:header="720" w:footer="720" w:gutter="0"/>
          <w:pgNumType w:start="1"/>
          <w:cols w:space="720"/>
          <w:noEndnote/>
          <w:docGrid w:linePitch="360"/>
        </w:sectPr>
      </w:pP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(A92, R118, H4003)</w:t>
      </w:r>
    </w:p>
    <w:p w:rsidR="00426D0C" w:rsidRPr="008836A5"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6D0C" w:rsidRPr="005605D7"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05D7">
        <w:rPr>
          <w:rFonts w:cs="Times New Roman"/>
          <w:b/>
          <w:color w:val="000000" w:themeColor="text1"/>
          <w:szCs w:val="36"/>
        </w:rPr>
        <w:t xml:space="preserve">AN ACT </w:t>
      </w:r>
      <w:r w:rsidRPr="005605D7">
        <w:rPr>
          <w:rFonts w:cs="Times New Roman"/>
          <w:b/>
          <w:color w:val="000000" w:themeColor="text1"/>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38E">
        <w:rPr>
          <w:rFonts w:cs="Times New Roman"/>
        </w:rPr>
        <w:t>Be it enacted by the General Assembly of the State of South Carolina:</w:t>
      </w: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6D0C" w:rsidRPr="005C5F28"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C5F28">
        <w:rPr>
          <w:rFonts w:cs="Times New Roman"/>
          <w:b/>
          <w:color w:val="000000" w:themeColor="text1"/>
          <w:u w:color="000000" w:themeColor="text1"/>
        </w:rPr>
        <w:t>Produce Safety Act, creation to authorize the Department of Agriculture to enforce farm produce food safety standards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38E">
        <w:rPr>
          <w:rFonts w:cs="Times New Roman"/>
        </w:rPr>
        <w:t>SECTION</w:t>
      </w:r>
      <w:r w:rsidRPr="007C638E">
        <w:rPr>
          <w:rFonts w:cs="Times New Roman"/>
        </w:rPr>
        <w:tab/>
        <w:t>1.</w:t>
      </w:r>
      <w:r w:rsidRPr="007C638E">
        <w:rPr>
          <w:rFonts w:cs="Times New Roman"/>
        </w:rPr>
        <w:tab/>
        <w:t>Title 39 of the 1976 Code is amended by adding:</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38E">
        <w:rPr>
          <w:rFonts w:cs="Times New Roman"/>
        </w:rPr>
        <w:t>“CHAPTER 26</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638E">
        <w:rPr>
          <w:rFonts w:cs="Times New Roman"/>
        </w:rPr>
        <w:t>Produce Safety Act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w:t>
      </w:r>
      <w:r w:rsidRPr="007C638E">
        <w:rPr>
          <w:rFonts w:cs="Times New Roman"/>
          <w:color w:val="000000" w:themeColor="text1"/>
          <w:u w:color="000000" w:themeColor="text1"/>
        </w:rPr>
        <w:tab/>
        <w:t>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10.</w:t>
      </w:r>
      <w:r w:rsidRPr="007C638E">
        <w:rPr>
          <w:rFonts w:cs="Times New Roman"/>
          <w:color w:val="000000" w:themeColor="text1"/>
          <w:u w:color="000000" w:themeColor="text1"/>
        </w:rPr>
        <w:tab/>
      </w:r>
      <w:r w:rsidRPr="007C638E">
        <w:rPr>
          <w:rFonts w:cs="Times New Roman"/>
          <w:color w:val="000000" w:themeColor="text1"/>
          <w:u w:color="000000" w:themeColor="text1"/>
        </w:rPr>
        <w:tab/>
        <w:t>This chapter may be cited as the ‘South Carolina Produce Safety Act’.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20.</w:t>
      </w:r>
      <w:r w:rsidRPr="007C638E">
        <w:rPr>
          <w:rFonts w:cs="Times New Roman"/>
          <w:color w:val="000000" w:themeColor="text1"/>
          <w:u w:color="000000" w:themeColor="text1"/>
        </w:rPr>
        <w:tab/>
        <w:t>(A)</w:t>
      </w:r>
      <w:r w:rsidRPr="007C638E">
        <w:rPr>
          <w:rFonts w:cs="Times New Roman"/>
          <w:color w:val="000000" w:themeColor="text1"/>
          <w:u w:color="000000" w:themeColor="text1"/>
        </w:rPr>
        <w:tab/>
        <w:t>As used in this chapter: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‘Adequate’ means satisfactory for a particular purpose, fully sufficient, suitable, or fit.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 xml:space="preserve">‘Agricultural water’ means water used at a farm for agronomic reasons, including water used for irrigation, transpiration control, frost protection, washing produce, harvesting, or as a carrier for fertilizers and pesticides. Occasionally, a more specific term may be used, such as </w:t>
      </w:r>
      <w:r w:rsidRPr="007C638E">
        <w:rPr>
          <w:rFonts w:cs="Times New Roman"/>
          <w:color w:val="000000" w:themeColor="text1"/>
          <w:u w:color="000000" w:themeColor="text1"/>
        </w:rPr>
        <w:lastRenderedPageBreak/>
        <w:t>irrigation water. Typical sources of agricultural water include flowing surface waters from rivers, streams, irrigation ditches or open canals; impoundment; wells; and municipal supplies.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(3)</w:t>
      </w:r>
      <w:r w:rsidRPr="007C638E">
        <w:rPr>
          <w:rFonts w:cs="Times New Roman"/>
          <w:color w:val="000000" w:themeColor="text1"/>
          <w:u w:color="000000" w:themeColor="text1"/>
        </w:rPr>
        <w:tab/>
        <w:t>‘Clean’ means washed, rinsed and/or reasonably free of dust, dirt, food residues, and other debris.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(4)</w:t>
      </w:r>
      <w:r w:rsidRPr="007C638E">
        <w:rPr>
          <w:rFonts w:cs="Times New Roman"/>
          <w:color w:val="000000" w:themeColor="text1"/>
          <w:u w:color="000000" w:themeColor="text1"/>
        </w:rPr>
        <w:tab/>
        <w:t>‘Commissioner’ means the South Carolina Commissioner of Agriculture.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(5)</w:t>
      </w:r>
      <w:r w:rsidRPr="007C638E">
        <w:rPr>
          <w:rFonts w:cs="Times New Roman"/>
          <w:color w:val="000000" w:themeColor="text1"/>
          <w:u w:color="000000" w:themeColor="text1"/>
        </w:rPr>
        <w:tab/>
        <w:t>‘Covered produce’ means food that is produce within the meaning of 21 C.F.R. Part 112 and that is a raw agricultural commodity, as defined in 21 C.F.R</w:t>
      </w:r>
      <w:r>
        <w:rPr>
          <w:rFonts w:cs="Times New Roman"/>
          <w:color w:val="000000" w:themeColor="text1"/>
          <w:u w:color="000000" w:themeColor="text1"/>
        </w:rPr>
        <w:t>.</w:t>
      </w:r>
      <w:r w:rsidRPr="007C638E">
        <w:rPr>
          <w:rFonts w:cs="Times New Roman"/>
          <w:color w:val="000000" w:themeColor="text1"/>
          <w:u w:color="000000" w:themeColor="text1"/>
        </w:rPr>
        <w:t xml:space="preserve"> Section 112.3(c), unless excluded under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30(A) or exempted under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30(B).</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(6)</w:t>
      </w:r>
      <w:r w:rsidRPr="007C638E">
        <w:rPr>
          <w:rFonts w:cs="Times New Roman"/>
          <w:color w:val="000000" w:themeColor="text1"/>
          <w:u w:color="000000" w:themeColor="text1"/>
        </w:rPr>
        <w:tab/>
        <w:t>‘Department’ means the South Carolina Department of Agriculture.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(7)</w:t>
      </w:r>
      <w:r w:rsidRPr="007C638E">
        <w:rPr>
          <w:rFonts w:cs="Times New Roman"/>
          <w:color w:val="000000" w:themeColor="text1"/>
          <w:u w:color="000000" w:themeColor="text1"/>
        </w:rPr>
        <w:tab/>
        <w:t>‘Documentation’ means a written procedure or record of a task being completed.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(8)</w:t>
      </w:r>
      <w:r w:rsidRPr="007C638E">
        <w:rPr>
          <w:rFonts w:cs="Times New Roman"/>
          <w:color w:val="000000" w:themeColor="text1"/>
          <w:u w:color="000000" w:themeColor="text1"/>
        </w:rPr>
        <w:tab/>
        <w:t>‘Farm’ means a farm, as defined in 21 C.F.R. Section 112.3(c), or a farm mixed</w:t>
      </w:r>
      <w:r>
        <w:rPr>
          <w:rFonts w:cs="Times New Roman"/>
          <w:color w:val="000000" w:themeColor="text1"/>
          <w:u w:color="000000" w:themeColor="text1"/>
        </w:rPr>
        <w:noBreakHyphen/>
      </w:r>
      <w:r w:rsidRPr="007C638E">
        <w:rPr>
          <w:rFonts w:cs="Times New Roman"/>
          <w:color w:val="000000" w:themeColor="text1"/>
          <w:u w:color="000000" w:themeColor="text1"/>
        </w:rPr>
        <w:t>type facility, as defined in 21 C.F.R. Section 112.3(c).</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(9)</w:t>
      </w:r>
      <w:r w:rsidRPr="007C638E">
        <w:rPr>
          <w:rFonts w:cs="Times New Roman"/>
          <w:color w:val="000000" w:themeColor="text1"/>
          <w:u w:color="000000" w:themeColor="text1"/>
        </w:rPr>
        <w:tab/>
        <w:t>‘Pathogen’ means a microorganism of public health significance capable of causing human disease or injury.</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(10)</w:t>
      </w:r>
      <w:r w:rsidRPr="007C638E">
        <w:rPr>
          <w:rFonts w:cs="Times New Roman"/>
          <w:color w:val="000000" w:themeColor="text1"/>
          <w:u w:color="000000" w:themeColor="text1"/>
        </w:rPr>
        <w:tab/>
        <w:t>‘Personal</w:t>
      </w:r>
      <w:r>
        <w:rPr>
          <w:rFonts w:cs="Times New Roman"/>
          <w:color w:val="000000" w:themeColor="text1"/>
          <w:u w:color="000000" w:themeColor="text1"/>
        </w:rPr>
        <w:noBreakHyphen/>
      </w:r>
      <w:r w:rsidRPr="007C638E">
        <w:rPr>
          <w:rFonts w:cs="Times New Roman"/>
          <w:color w:val="000000" w:themeColor="text1"/>
          <w:u w:color="000000" w:themeColor="text1"/>
        </w:rPr>
        <w:t>service area’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Pr>
          <w:rFonts w:cs="Times New Roman"/>
          <w:color w:val="000000" w:themeColor="text1"/>
          <w:u w:color="000000" w:themeColor="text1"/>
        </w:rPr>
        <w:noBreakHyphen/>
      </w:r>
      <w:r w:rsidRPr="007C638E">
        <w:rPr>
          <w:rFonts w:cs="Times New Roman"/>
          <w:color w:val="000000" w:themeColor="text1"/>
          <w:u w:color="000000" w:themeColor="text1"/>
        </w:rPr>
        <w:t>service area may include outdoor areas adjacent to a field in production.</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(11)</w:t>
      </w:r>
      <w:r w:rsidRPr="007C638E">
        <w:rPr>
          <w:rFonts w:cs="Times New Roman"/>
          <w:color w:val="000000" w:themeColor="text1"/>
          <w:u w:color="000000" w:themeColor="text1"/>
        </w:rPr>
        <w:tab/>
        <w:t>‘Pest’ means any animal or insect of public health significance including, but not limited to, birds, rodents, cockroaches, flies, and larvae that may carry pathogens which can contaminate food or food</w:t>
      </w:r>
      <w:r>
        <w:rPr>
          <w:rFonts w:cs="Times New Roman"/>
          <w:color w:val="000000" w:themeColor="text1"/>
          <w:u w:color="000000" w:themeColor="text1"/>
        </w:rPr>
        <w:noBreakHyphen/>
      </w:r>
      <w:r w:rsidRPr="007C638E">
        <w:rPr>
          <w:rFonts w:cs="Times New Roman"/>
          <w:color w:val="000000" w:themeColor="text1"/>
          <w:u w:color="000000" w:themeColor="text1"/>
        </w:rPr>
        <w:t>contact surfaces.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(12)</w:t>
      </w:r>
      <w:r w:rsidRPr="007C638E">
        <w:rPr>
          <w:rFonts w:cs="Times New Roman"/>
          <w:color w:val="000000" w:themeColor="text1"/>
          <w:u w:color="000000" w:themeColor="text1"/>
        </w:rPr>
        <w:tab/>
        <w:t>‘Post</w:t>
      </w:r>
      <w:r>
        <w:rPr>
          <w:rFonts w:cs="Times New Roman"/>
          <w:color w:val="000000" w:themeColor="text1"/>
          <w:u w:color="000000" w:themeColor="text1"/>
        </w:rPr>
        <w:noBreakHyphen/>
      </w:r>
      <w:r w:rsidRPr="007C638E">
        <w:rPr>
          <w:rFonts w:cs="Times New Roman"/>
          <w:color w:val="000000" w:themeColor="text1"/>
          <w:u w:color="000000" w:themeColor="text1"/>
        </w:rPr>
        <w:t>harvest activity’ means any activity that takes place after the edible portion of the plant has been harvested. This may include washing, cooling, sorting, or packing in the field or at another location.</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(13)</w:t>
      </w:r>
      <w:r w:rsidRPr="007C638E">
        <w:rPr>
          <w:rFonts w:cs="Times New Roman"/>
          <w:color w:val="000000" w:themeColor="text1"/>
          <w:u w:color="000000" w:themeColor="text1"/>
        </w:rPr>
        <w:tab/>
        <w:t>‘Produce’ means food that is produce within the meaning of 21 C.F.R. Part 112 and that is a raw agricultural commodity, as defined in 21 C.F.R</w:t>
      </w:r>
      <w:r>
        <w:rPr>
          <w:rFonts w:cs="Times New Roman"/>
          <w:color w:val="000000" w:themeColor="text1"/>
          <w:u w:color="000000" w:themeColor="text1"/>
        </w:rPr>
        <w:t>.</w:t>
      </w:r>
      <w:r w:rsidRPr="007C638E">
        <w:rPr>
          <w:rFonts w:cs="Times New Roman"/>
          <w:color w:val="000000" w:themeColor="text1"/>
          <w:u w:color="000000" w:themeColor="text1"/>
        </w:rPr>
        <w:t xml:space="preserve"> Section 112.3(c). </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(14)</w:t>
      </w:r>
      <w:r w:rsidRPr="007C638E">
        <w:rPr>
          <w:rFonts w:cs="Times New Roman"/>
          <w:color w:val="000000" w:themeColor="text1"/>
          <w:u w:color="000000" w:themeColor="text1"/>
        </w:rPr>
        <w:tab/>
        <w:t>‘Sanitize’ means to treat food</w:t>
      </w:r>
      <w:r>
        <w:rPr>
          <w:rFonts w:cs="Times New Roman"/>
          <w:color w:val="000000" w:themeColor="text1"/>
          <w:u w:color="000000" w:themeColor="text1"/>
        </w:rPr>
        <w:noBreakHyphen/>
      </w:r>
      <w:r w:rsidRPr="007C638E">
        <w:rPr>
          <w:rFonts w:cs="Times New Roman"/>
          <w:color w:val="000000" w:themeColor="text1"/>
          <w:u w:color="000000" w:themeColor="text1"/>
        </w:rPr>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(15)</w:t>
      </w:r>
      <w:r w:rsidRPr="007C638E">
        <w:rPr>
          <w:rFonts w:cs="Times New Roman"/>
          <w:color w:val="000000" w:themeColor="text1"/>
          <w:u w:color="000000" w:themeColor="text1"/>
        </w:rPr>
        <w:tab/>
        <w:t>‘Water source’ or ‘source water’ means the origin of the water being used at the farm or packing operation facility. It may be a municipal supply, private well, pond, stream</w:t>
      </w:r>
      <w:r>
        <w:rPr>
          <w:rFonts w:cs="Times New Roman"/>
          <w:color w:val="000000" w:themeColor="text1"/>
          <w:u w:color="000000" w:themeColor="text1"/>
        </w:rPr>
        <w:t>,</w:t>
      </w:r>
      <w:r w:rsidRPr="007C638E">
        <w:rPr>
          <w:rFonts w:cs="Times New Roman"/>
          <w:color w:val="000000" w:themeColor="text1"/>
          <w:u w:color="000000" w:themeColor="text1"/>
        </w:rPr>
        <w:t xml:space="preserve"> or other body of water.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30.</w:t>
      </w:r>
      <w:r w:rsidRPr="007C638E">
        <w:rPr>
          <w:rFonts w:cs="Times New Roman"/>
          <w:color w:val="000000" w:themeColor="text1"/>
          <w:u w:color="000000" w:themeColor="text1"/>
        </w:rPr>
        <w:tab/>
        <w:t>(A)</w:t>
      </w:r>
      <w:r w:rsidRPr="007C638E">
        <w:rPr>
          <w:rFonts w:cs="Times New Roman"/>
          <w:color w:val="000000" w:themeColor="text1"/>
          <w:u w:color="000000" w:themeColor="text1"/>
        </w:rPr>
        <w:tab/>
        <w:t>‘Covered produce’ includes all of the following:</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fruits and vegetables such as almonds, apples, apricots, apriums, artichokes</w:t>
      </w:r>
      <w:r>
        <w:rPr>
          <w:rFonts w:cs="Times New Roman"/>
          <w:color w:val="000000" w:themeColor="text1"/>
          <w:u w:color="000000" w:themeColor="text1"/>
        </w:rPr>
        <w:noBreakHyphen/>
      </w:r>
      <w:r w:rsidRPr="007C638E">
        <w:rPr>
          <w:rFonts w:cs="Times New Roman"/>
          <w:color w:val="000000" w:themeColor="text1"/>
          <w:u w:color="000000" w:themeColor="text1"/>
        </w:rPr>
        <w:t>globe</w:t>
      </w:r>
      <w:r>
        <w:rPr>
          <w:rFonts w:cs="Times New Roman"/>
          <w:color w:val="000000" w:themeColor="text1"/>
          <w:u w:color="000000" w:themeColor="text1"/>
        </w:rPr>
        <w:noBreakHyphen/>
      </w:r>
      <w:r w:rsidRPr="007C638E">
        <w:rPr>
          <w:rFonts w:cs="Times New Roman"/>
          <w:color w:val="000000" w:themeColor="text1"/>
          <w:u w:color="000000" w:themeColor="text1"/>
        </w:rPr>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Pr>
          <w:rFonts w:cs="Times New Roman"/>
          <w:color w:val="000000" w:themeColor="text1"/>
          <w:u w:color="000000" w:themeColor="text1"/>
        </w:rPr>
        <w:noBreakHyphen/>
      </w:r>
      <w:r w:rsidRPr="007C638E">
        <w:rPr>
          <w:rFonts w:cs="Times New Roman"/>
          <w:color w:val="000000" w:themeColor="text1"/>
          <w:u w:color="000000" w:themeColor="text1"/>
        </w:rPr>
        <w:t>garden, cucumbers, curly endive, currants, dandelion leaves, fennel</w:t>
      </w:r>
      <w:r>
        <w:rPr>
          <w:rFonts w:cs="Times New Roman"/>
          <w:color w:val="000000" w:themeColor="text1"/>
          <w:u w:color="000000" w:themeColor="text1"/>
        </w:rPr>
        <w:noBreakHyphen/>
      </w:r>
      <w:r w:rsidRPr="007C638E">
        <w:rPr>
          <w:rFonts w:cs="Times New Roman"/>
          <w:color w:val="000000" w:themeColor="text1"/>
          <w:u w:color="000000" w:themeColor="text1"/>
        </w:rPr>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Pr>
          <w:rFonts w:cs="Times New Roman"/>
          <w:color w:val="000000" w:themeColor="text1"/>
          <w:u w:color="000000" w:themeColor="text1"/>
        </w:rPr>
        <w:noBreakHyphen/>
      </w:r>
      <w:r w:rsidRPr="007C638E">
        <w:rPr>
          <w:rFonts w:cs="Times New Roman"/>
          <w:color w:val="000000" w:themeColor="text1"/>
          <w:u w:color="000000" w:themeColor="text1"/>
        </w:rPr>
        <w:t xml:space="preserve">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 </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a mix of intact fruits and vegetables, such as a fruit basket.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(B)</w:t>
      </w:r>
      <w:r w:rsidRPr="007C638E">
        <w:rPr>
          <w:rFonts w:cs="Times New Roman"/>
          <w:color w:val="000000" w:themeColor="text1"/>
          <w:u w:color="000000" w:themeColor="text1"/>
        </w:rPr>
        <w:tab/>
        <w:t>‘Covered produce’ does not include: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produce that is rarely consumed raw, specifically the produce on the following exhaustive list: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7C638E">
        <w:rPr>
          <w:rFonts w:cs="Times New Roman"/>
          <w:color w:val="000000" w:themeColor="text1"/>
          <w:u w:color="000000" w:themeColor="text1"/>
        </w:rPr>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Pr>
          <w:rFonts w:cs="Times New Roman"/>
          <w:color w:val="000000" w:themeColor="text1"/>
          <w:u w:color="000000" w:themeColor="text1"/>
        </w:rPr>
        <w:noBreakHyphen/>
      </w:r>
      <w:r w:rsidRPr="007C638E">
        <w:rPr>
          <w:rFonts w:cs="Times New Roman"/>
          <w:color w:val="000000" w:themeColor="text1"/>
          <w:u w:color="000000" w:themeColor="text1"/>
        </w:rPr>
        <w:t>eyed peas, cowpeas, crowder peas, purple hull peas, sea island peas, silver peas, and speckled peas), winter squash, sweet potatoes, and water chestnuts;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produce that is produced by an individual for personal consumption or produced for consumption on the farm or another farm under the same management; or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(3)</w:t>
      </w:r>
      <w:r w:rsidRPr="007C638E">
        <w:rPr>
          <w:rFonts w:cs="Times New Roman"/>
          <w:color w:val="000000" w:themeColor="text1"/>
          <w:u w:color="000000" w:themeColor="text1"/>
        </w:rPr>
        <w:tab/>
        <w:t>produce that is not a raw agricultural commodity, as defined in 21 C.F.R</w:t>
      </w:r>
      <w:r>
        <w:rPr>
          <w:rFonts w:cs="Times New Roman"/>
          <w:color w:val="000000" w:themeColor="text1"/>
          <w:u w:color="000000" w:themeColor="text1"/>
        </w:rPr>
        <w:t>.</w:t>
      </w:r>
      <w:r w:rsidRPr="007C638E">
        <w:rPr>
          <w:rFonts w:cs="Times New Roman"/>
          <w:color w:val="000000" w:themeColor="text1"/>
          <w:u w:color="000000" w:themeColor="text1"/>
        </w:rPr>
        <w:t xml:space="preserve"> Section 112.3(c).</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lastRenderedPageBreak/>
        <w:tab/>
        <w:t>(C)</w:t>
      </w:r>
      <w:r w:rsidRPr="007C638E">
        <w:rPr>
          <w:rFonts w:cs="Times New Roman"/>
          <w:color w:val="000000" w:themeColor="text1"/>
          <w:u w:color="000000" w:themeColor="text1"/>
        </w:rPr>
        <w:tab/>
        <w:t>Produce is eligible for exemption from the requirements of this chapter under the following conditions: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the produce receives commercial processing that adequately reduces the presence of microorganisms of public health significance;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the covered farm discloses in documents accompanying the produce, in accordance with the practice of the trade, that the food is not processed to adequately reduce the presence of microorganisms of public health significance;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(3)</w:t>
      </w:r>
      <w:r w:rsidRPr="007C638E">
        <w:rPr>
          <w:rFonts w:cs="Times New Roman"/>
          <w:color w:val="000000" w:themeColor="text1"/>
          <w:u w:color="000000" w:themeColor="text1"/>
        </w:rPr>
        <w:tab/>
        <w:t>the covered farm complies with the requirements of 21 C.F.R. Section 112.2(b)(3);</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(4)</w:t>
      </w:r>
      <w:r w:rsidRPr="007C638E">
        <w:rPr>
          <w:rFonts w:cs="Times New Roman"/>
          <w:color w:val="000000" w:themeColor="text1"/>
          <w:u w:color="000000" w:themeColor="text1"/>
        </w:rPr>
        <w:tab/>
        <w:t>the covered farm complies with the requirements of 21 C.F.R. Section 112.2(b)(4);</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(5)</w:t>
      </w:r>
      <w:r w:rsidRPr="007C638E">
        <w:rPr>
          <w:rFonts w:cs="Times New Roman"/>
          <w:color w:val="000000" w:themeColor="text1"/>
          <w:u w:color="000000" w:themeColor="text1"/>
        </w:rPr>
        <w:tab/>
        <w:t>the requirements of 21 C.F.R. Section 112 Subpart A and Subpart Q apply to such produce; and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(6)</w:t>
      </w:r>
      <w:r w:rsidRPr="007C638E">
        <w:rPr>
          <w:rFonts w:cs="Times New Roman"/>
          <w:color w:val="000000" w:themeColor="text1"/>
          <w:u w:color="000000" w:themeColor="text1"/>
        </w:rPr>
        <w:tab/>
        <w:t>an entity that provides a written assurance under 21 C.F.R. Section 112.2(b)(3)(i) or (ii) acts consistently with the assurance and documents its actions taken to satisfy the written assurance.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40.</w:t>
      </w:r>
      <w:r w:rsidRPr="007C638E">
        <w:rPr>
          <w:rFonts w:cs="Times New Roman"/>
          <w:color w:val="000000" w:themeColor="text1"/>
          <w:u w:color="000000" w:themeColor="text1"/>
        </w:rPr>
        <w:tab/>
        <w:t>(A)</w:t>
      </w:r>
      <w:r w:rsidRPr="007C638E">
        <w:rPr>
          <w:rFonts w:cs="Times New Roman"/>
          <w:color w:val="000000" w:themeColor="text1"/>
          <w:u w:color="000000" w:themeColor="text1"/>
        </w:rPr>
        <w:tab/>
        <w:t>Except as provided in subsection (B), a farm with an average annual monetary value of produce sold during the previous three</w:t>
      </w:r>
      <w:r>
        <w:rPr>
          <w:rFonts w:cs="Times New Roman"/>
          <w:color w:val="000000" w:themeColor="text1"/>
          <w:u w:color="000000" w:themeColor="text1"/>
        </w:rPr>
        <w:noBreakHyphen/>
      </w:r>
      <w:r w:rsidRPr="007C638E">
        <w:rPr>
          <w:rFonts w:cs="Times New Roman"/>
          <w:color w:val="000000" w:themeColor="text1"/>
          <w:u w:color="000000" w:themeColor="text1"/>
        </w:rPr>
        <w:t>year period of more than twenty</w:t>
      </w:r>
      <w:r>
        <w:rPr>
          <w:rFonts w:cs="Times New Roman"/>
          <w:color w:val="000000" w:themeColor="text1"/>
          <w:u w:color="000000" w:themeColor="text1"/>
        </w:rPr>
        <w:noBreakHyphen/>
      </w:r>
      <w:r w:rsidRPr="007C638E">
        <w:rPr>
          <w:rFonts w:cs="Times New Roman"/>
          <w:color w:val="000000" w:themeColor="text1"/>
          <w:u w:color="000000" w:themeColor="text1"/>
        </w:rPr>
        <w:t>five thousand dollars on a rolling basis, adjusted for inflation using 2011 as the baseline year for calculating the adjustment, is a ‘covered farm’ as used in this chapter, unless the context requires a different meaning. A covered farm shall comply with all applicable requirements of 21 C.F.R. Part 21, this chapter, or any provision of a regulation of the department 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 when conducting a covered activity, as defined in 21 C.F.R. Section 112.3(c), on covered produce.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(B)</w:t>
      </w:r>
      <w:r w:rsidRPr="007C638E">
        <w:rPr>
          <w:rFonts w:cs="Times New Roman"/>
          <w:color w:val="000000" w:themeColor="text1"/>
          <w:u w:color="000000" w:themeColor="text1"/>
        </w:rPr>
        <w:tab/>
        <w:t>A farm is not subject to this chapter if:</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 xml:space="preserve">it satisfies the requirements in 21 C.F.R. Section 112.5; and </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 xml:space="preserve">the U.S. Food and Drug Administration, or the department operating on authority delegated from the U.S. Food and Drug Administration, has not withdrawn the farm’s exemption in accordance with the requirements of 21 C.F.R. Section 112 Subpart R; or if the U.S. Food and Drug Administration, or the department operating on authority delegated from the U.S. Food and Drug Administration, has stayed the withdrawal of the farm’s exemption pursuant to the procedures and requirements of 21 C.F.R. Section 112 Subpart R; or if the U.S. Food and Drug Administration, or the department operating on authority delegated from the U.S. Food and Drug Administration, has revoked the withdrawal of the farm’s exemption pursuant to the procedures and requirements of 21 C.F.R. Section 112 Subpart R; or if the U.S. Food and Drug Administration, or the department operating on authority </w:t>
      </w:r>
      <w:r w:rsidRPr="007C638E">
        <w:rPr>
          <w:rFonts w:cs="Times New Roman"/>
          <w:color w:val="000000" w:themeColor="text1"/>
          <w:u w:color="000000" w:themeColor="text1"/>
        </w:rPr>
        <w:lastRenderedPageBreak/>
        <w:t>delegated from the U.S. Food and Drug Administration, has not confirmed the withdrawal of the farm’s exemption in response to the farm’s appeal of the withdrawal pursuant to the procedures and requirements of 21 C.F.R. Section 112 Subpart R; or if the U.S. Food and Drug Administration, or the department operating on authority delegated from the U.S. Food and Drug Administration, has reinstated the farm’s exemption pursuant to the procedures and requirements of 21 C.F.R. Section 112 Subpart 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(C)</w:t>
      </w:r>
      <w:r w:rsidRPr="007C638E">
        <w:rPr>
          <w:rFonts w:cs="Times New Roman"/>
          <w:color w:val="000000" w:themeColor="text1"/>
          <w:u w:color="000000" w:themeColor="text1"/>
        </w:rPr>
        <w:tab/>
        <w:t>A farm is eligible for a qualified exemption and associated modified requirements in a calendar year if:</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during the previous three</w:t>
      </w:r>
      <w:r>
        <w:rPr>
          <w:rFonts w:cs="Times New Roman"/>
          <w:color w:val="000000" w:themeColor="text1"/>
          <w:u w:color="000000" w:themeColor="text1"/>
        </w:rPr>
        <w:noBreakHyphen/>
      </w:r>
      <w:r w:rsidRPr="007C638E">
        <w:rPr>
          <w:rFonts w:cs="Times New Roman"/>
          <w:color w:val="000000" w:themeColor="text1"/>
          <w:u w:color="000000" w:themeColor="text1"/>
        </w:rPr>
        <w:t>year period preceding the applicable calendar year, the average annual monetary value of the food, as defined in 21 C.F.R. Section 112.3(c), the farm sold directly to qualified end</w:t>
      </w:r>
      <w:r>
        <w:rPr>
          <w:rFonts w:cs="Times New Roman"/>
          <w:color w:val="000000" w:themeColor="text1"/>
          <w:u w:color="000000" w:themeColor="text1"/>
        </w:rPr>
        <w:noBreakHyphen/>
      </w:r>
      <w:r w:rsidRPr="007C638E">
        <w:rPr>
          <w:rFonts w:cs="Times New Roman"/>
          <w:color w:val="000000" w:themeColor="text1"/>
          <w:u w:color="000000" w:themeColor="text1"/>
        </w:rPr>
        <w:t>users, as defined in 21 C.F.R. Section 112.3(c), during such period exceeded the average annual monetary value of the food the farm sold to all other buyers during that period; and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the average annual monetary value of all food, as defined in 21 C.F.R. Section 112.3(c), the farm sold during the three</w:t>
      </w:r>
      <w:r>
        <w:rPr>
          <w:rFonts w:cs="Times New Roman"/>
          <w:color w:val="000000" w:themeColor="text1"/>
          <w:u w:color="000000" w:themeColor="text1"/>
        </w:rPr>
        <w:noBreakHyphen/>
      </w:r>
      <w:r w:rsidRPr="007C638E">
        <w:rPr>
          <w:rFonts w:cs="Times New Roman"/>
          <w:color w:val="000000" w:themeColor="text1"/>
          <w:u w:color="000000" w:themeColor="text1"/>
        </w:rPr>
        <w:t>year period preceding the applicable calendar year was less than five hundred thousand dollars, adjusted for inflation, using 2011 as the baseline year for calculating the adjustment for inflation.</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(D)</w:t>
      </w:r>
      <w:r w:rsidRPr="007C638E">
        <w:rPr>
          <w:rFonts w:cs="Times New Roman"/>
          <w:color w:val="000000" w:themeColor="text1"/>
          <w:u w:color="000000" w:themeColor="text1"/>
        </w:rPr>
        <w:tab/>
        <w:t>If a farm is eligible for a qualified exemption in accordance with 21 C.F.R. Section 112.5, the farm is subject to the requirements of 21 C.F.R. Section 112 Subparts A, O, Q, and 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(E)</w:t>
      </w:r>
      <w:r w:rsidRPr="007C638E">
        <w:rPr>
          <w:rFonts w:cs="Times New Roman"/>
          <w:color w:val="000000" w:themeColor="text1"/>
          <w:u w:color="000000" w:themeColor="text1"/>
        </w:rPr>
        <w:tab/>
        <w:t>If a farm is eligible for a qualified exemption in accordance with 21 C.F.R. Section 112.5, the farm is subject to the modified requirements established in 21 C.F.R. Section 112.6(b).</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(F)</w:t>
      </w:r>
      <w:r w:rsidRPr="007C638E">
        <w:rPr>
          <w:rFonts w:cs="Times New Roman"/>
          <w:color w:val="000000" w:themeColor="text1"/>
          <w:u w:color="000000" w:themeColor="text1"/>
        </w:rPr>
        <w:tab/>
        <w:t>A farm eligible for an exemption under this section may complete forms made available by the department. The department shall issue the farm an exemption certificate as an official acknowledgement of the farm’s exemption status. However, receipt of any certificate from the department is in no way a condition of eligibility for an exemption under this section.</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w:t>
      </w:r>
      <w:r w:rsidRPr="007C638E">
        <w:rPr>
          <w:rFonts w:cs="Times New Roman"/>
          <w:color w:val="000000" w:themeColor="text1"/>
          <w:u w:color="000000" w:themeColor="text1"/>
        </w:rPr>
        <w:tab/>
        <w:t>The South Carolina Department of Agriculture may promulgate regulations necessary or convenient to carry out the purposes of this chapter.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60.</w:t>
      </w:r>
      <w:r w:rsidRPr="007C638E">
        <w:rPr>
          <w:rFonts w:cs="Times New Roman"/>
          <w:color w:val="000000" w:themeColor="text1"/>
          <w:u w:color="000000" w:themeColor="text1"/>
        </w:rPr>
        <w:tab/>
        <w:t>(A)</w:t>
      </w:r>
      <w:r w:rsidRPr="007C638E">
        <w:rPr>
          <w:rFonts w:cs="Times New Roman"/>
          <w:color w:val="000000" w:themeColor="text1"/>
          <w:u w:color="000000" w:themeColor="text1"/>
        </w:rPr>
        <w:tab/>
        <w:t>For purposes of enforcement of this chapter, the Commissioner, or any authorized agent of the Commissioner, upon presenting appropriate credentials to the farm’s owner, operator, or agent in charge, may:</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u w:color="000000" w:themeColor="text1"/>
        </w:rPr>
        <w:lastRenderedPageBreak/>
        <w:tab/>
      </w:r>
      <w:r w:rsidRPr="007C638E">
        <w:rPr>
          <w:rFonts w:cs="Times New Roman"/>
          <w:u w:color="000000" w:themeColor="text1"/>
        </w:rPr>
        <w:tab/>
        <w:t>(1)</w:t>
      </w:r>
      <w:r w:rsidRPr="007C638E">
        <w:rPr>
          <w:rFonts w:cs="Times New Roman"/>
          <w:u w:color="000000" w:themeColor="text1"/>
        </w:rPr>
        <w:tab/>
        <w:t>enter at reasonable hours on any farm in which produce is grown, packed, stored or held for introduction into commerce or after introduction or enter any vehicle being used to transport or hold this food in commerce;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inspect at reasonable hours and within reasonable limits and in a reasonable manner the farm and all pertinent equipment, finished and unfinished materials, containers, and labeling and to obtain samples necessary for the enforcement of this chapter; and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(3)</w:t>
      </w:r>
      <w:r w:rsidRPr="007C638E">
        <w:rPr>
          <w:rFonts w:cs="Times New Roman"/>
          <w:color w:val="000000" w:themeColor="text1"/>
          <w:u w:color="000000" w:themeColor="text1"/>
        </w:rPr>
        <w:tab/>
        <w:t>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(B)</w:t>
      </w:r>
      <w:r w:rsidRPr="007C638E">
        <w:rPr>
          <w:rFonts w:cs="Times New Roman"/>
          <w:color w:val="000000" w:themeColor="text1"/>
          <w:u w:color="000000" w:themeColor="text1"/>
        </w:rPr>
        <w:tab/>
        <w:t>The Commissioner, or any authorized agent of the Commissioner, shall have access only at reasonable hours to any farm eligible for a qualified exemption in accordance with 21 C.F.R. Section 112.5 for the purpose of:</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reviewing relevant records to demonstrate that the farm is in compliance with the applicable requirements of 21 C.F.R. Section 112 Subparts A, O, Q, and R; and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70.</w:t>
      </w:r>
      <w:r w:rsidRPr="007C638E">
        <w:rPr>
          <w:rFonts w:cs="Times New Roman"/>
          <w:color w:val="000000" w:themeColor="text1"/>
          <w:u w:color="000000" w:themeColor="text1"/>
        </w:rPr>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 the Commissioner, or any authorized agent of the Commissioner, is authorized to seize or take possession of the covered produce.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80.</w:t>
      </w:r>
      <w:r w:rsidRPr="007C638E">
        <w:rPr>
          <w:rFonts w:cs="Times New Roman"/>
          <w:color w:val="000000" w:themeColor="text1"/>
          <w:u w:color="000000" w:themeColor="text1"/>
        </w:rPr>
        <w:tab/>
        <w:t>(A)</w:t>
      </w:r>
      <w:r w:rsidRPr="007C638E">
        <w:rPr>
          <w:rFonts w:cs="Times New Roman"/>
          <w:color w:val="000000" w:themeColor="text1"/>
          <w:u w:color="000000" w:themeColor="text1"/>
        </w:rPr>
        <w:tab/>
        <w:t xml:space="preserve">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w:t>
      </w:r>
      <w:r w:rsidRPr="007C638E">
        <w:rPr>
          <w:rFonts w:cs="Times New Roman"/>
          <w:color w:val="000000" w:themeColor="text1"/>
          <w:u w:color="000000" w:themeColor="text1"/>
        </w:rPr>
        <w:lastRenderedPageBreak/>
        <w:t>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 the Commissioner, or any authorized agent of the Commissioner, is authorized to condemn, destroy, or require the destruction of the covered produce.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(B)</w:t>
      </w:r>
      <w:r w:rsidRPr="007C638E">
        <w:rPr>
          <w:rFonts w:cs="Times New Roman"/>
          <w:color w:val="000000" w:themeColor="text1"/>
          <w:u w:color="000000" w:themeColor="text1"/>
        </w:rPr>
        <w:tab/>
        <w:t>Prior to condemning, destroying, or requiring the destruction of covered produce pursuant to subsection (A), the Commissioner, or any authorized agent of the Commissioner, shall seize the covered produce in accordance with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70 and either: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(1)</w:t>
      </w:r>
      <w:r w:rsidRPr="007C638E">
        <w:rPr>
          <w:rFonts w:cs="Times New Roman"/>
          <w:color w:val="000000" w:themeColor="text1"/>
          <w:u w:color="000000" w:themeColor="text1"/>
        </w:rPr>
        <w:tab/>
        <w:t>secure the written consent to the condemnation or destruction, on a form to be provided by the Commissioner, or any authorized agent of the Commissioner, from the person from whom the covered produce was seized; or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r>
      <w:r w:rsidRPr="007C638E">
        <w:rPr>
          <w:rFonts w:cs="Times New Roman"/>
          <w:color w:val="000000" w:themeColor="text1"/>
          <w:u w:color="000000" w:themeColor="text1"/>
        </w:rPr>
        <w:tab/>
        <w:t>(2)</w:t>
      </w:r>
      <w:r w:rsidRPr="007C638E">
        <w:rPr>
          <w:rFonts w:cs="Times New Roman"/>
          <w:color w:val="000000" w:themeColor="text1"/>
          <w:u w:color="000000" w:themeColor="text1"/>
        </w:rPr>
        <w:tab/>
        <w:t>make complaint before a magistrate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90.</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90.</w:t>
      </w:r>
      <w:r w:rsidRPr="007C638E">
        <w:rPr>
          <w:rFonts w:cs="Times New Roman"/>
          <w:color w:val="000000" w:themeColor="text1"/>
          <w:u w:color="000000" w:themeColor="text1"/>
        </w:rPr>
        <w:tab/>
        <w:t>If unable to secure the written consent to the condemnation or destruction in accordance with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100.</w:t>
      </w:r>
      <w:r w:rsidRPr="007C638E">
        <w:rPr>
          <w:rFonts w:cs="Times New Roman"/>
          <w:color w:val="000000" w:themeColor="text1"/>
          <w:u w:color="000000" w:themeColor="text1"/>
        </w:rPr>
        <w:tab/>
        <w:t>(A)</w:t>
      </w:r>
      <w:r w:rsidRPr="007C638E">
        <w:rPr>
          <w:rFonts w:cs="Times New Roman"/>
          <w:color w:val="000000" w:themeColor="text1"/>
          <w:u w:color="000000" w:themeColor="text1"/>
        </w:rPr>
        <w:tab/>
        <w:t>Unless otherwise shown or if the covered produce to be condemned or destroyed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80 is found upon trial to be in violation of any provision of 21 C.F.R. Part 112, this chapter, or regulations of the department 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 xml:space="preserve">50, it is the duty of the circuit court to render judgment that the covered produce be forfeited to the department and that the goods be destroyed or sold by the Commissioner, or any authorized agent of the Commissioner, for any purpose other than to be used for human </w:t>
      </w:r>
      <w:r w:rsidRPr="007C638E">
        <w:rPr>
          <w:rFonts w:cs="Times New Roman"/>
          <w:color w:val="000000" w:themeColor="text1"/>
          <w:u w:color="000000" w:themeColor="text1"/>
        </w:rPr>
        <w:lastRenderedPageBreak/>
        <w:t>consumption. The mode of procedure before the circuit court must be the same, as near as may be in civil proceedings. Either party may appeal to the South Carolina Court of Appeals as appeals are taken from the circuit court, but it is not necessary for the State of South Carolina or the department to give any appeal bond.</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(B)</w:t>
      </w:r>
      <w:r w:rsidRPr="007C638E">
        <w:rPr>
          <w:rFonts w:cs="Times New Roman"/>
          <w:color w:val="000000" w:themeColor="text1"/>
          <w:u w:color="000000" w:themeColor="text1"/>
        </w:rPr>
        <w:tab/>
        <w:t>The proceeds arising from any sale ordered pursuant to subsection (A) must be disposed of in accordance with this chapter, or regulations of the department 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110.</w:t>
      </w:r>
      <w:r w:rsidRPr="007C638E">
        <w:rPr>
          <w:rFonts w:cs="Times New Roman"/>
          <w:color w:val="000000" w:themeColor="text1"/>
          <w:u w:color="000000" w:themeColor="text1"/>
        </w:rPr>
        <w:tab/>
        <w:t>No covered farm or farm eligible for a qualified exemption in accordance with 21 C.F.R. Section 112.5 shall violate any provision of 21 C.F.R. Part 112 or any provision of a regulation of the department promulgated pursuant to 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50, that is applicable to that covered farm or qualified exempt farm.</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120.</w:t>
      </w:r>
      <w:r w:rsidRPr="007C638E">
        <w:rPr>
          <w:rFonts w:cs="Times New Roman"/>
          <w:color w:val="000000" w:themeColor="text1"/>
          <w:u w:color="000000" w:themeColor="text1"/>
        </w:rPr>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130.</w:t>
      </w:r>
      <w:r w:rsidRPr="007C638E">
        <w:rPr>
          <w:rFonts w:cs="Times New Roman"/>
          <w:color w:val="000000" w:themeColor="text1"/>
          <w:u w:color="000000" w:themeColor="text1"/>
        </w:rPr>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r w:rsidRPr="007C638E">
        <w:rPr>
          <w:rFonts w:cs="Times New Roman"/>
          <w:color w:val="000000" w:themeColor="text1"/>
          <w:u w:color="000000" w:themeColor="text1"/>
        </w:rPr>
        <w:tab/>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140.</w:t>
      </w:r>
      <w:r w:rsidRPr="007C638E">
        <w:rPr>
          <w:rFonts w:cs="Times New Roman"/>
          <w:color w:val="000000" w:themeColor="text1"/>
          <w:u w:color="000000" w:themeColor="text1"/>
        </w:rPr>
        <w:tab/>
        <w:t>This chapter is repealed upon the effective date of the repeal of 21 C.F.R. Part 112.</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150.</w:t>
      </w:r>
      <w:r w:rsidRPr="007C638E">
        <w:rPr>
          <w:rFonts w:cs="Times New Roman"/>
          <w:color w:val="000000" w:themeColor="text1"/>
          <w:u w:color="000000" w:themeColor="text1"/>
        </w:rPr>
        <w:tab/>
        <w:t>Any exemption to the requirements of 21 C.F.R. Part 112, as established in 21 C.F.R. Part 112, also applies to this chapter</w:t>
      </w:r>
      <w:r w:rsidRPr="007C638E">
        <w:rPr>
          <w:rFonts w:cs="Times New Roman"/>
          <w:i/>
          <w:color w:val="000000" w:themeColor="text1"/>
          <w:u w:color="000000" w:themeColor="text1"/>
        </w:rPr>
        <w:t>.</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160.</w:t>
      </w:r>
      <w:r w:rsidRPr="007C638E">
        <w:rPr>
          <w:rFonts w:cs="Times New Roman"/>
          <w:color w:val="000000" w:themeColor="text1"/>
          <w:u w:color="000000" w:themeColor="text1"/>
        </w:rPr>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C638E">
        <w:rPr>
          <w:rFonts w:cs="Times New Roman"/>
          <w:color w:val="000000" w:themeColor="text1"/>
          <w:u w:color="000000" w:themeColor="text1"/>
        </w:rPr>
        <w:tab/>
        <w:t>Section 39</w:t>
      </w:r>
      <w:r>
        <w:rPr>
          <w:rFonts w:cs="Times New Roman"/>
          <w:color w:val="000000" w:themeColor="text1"/>
          <w:u w:color="000000" w:themeColor="text1"/>
        </w:rPr>
        <w:noBreakHyphen/>
      </w:r>
      <w:r w:rsidRPr="007C638E">
        <w:rPr>
          <w:rFonts w:cs="Times New Roman"/>
          <w:color w:val="000000" w:themeColor="text1"/>
          <w:u w:color="000000" w:themeColor="text1"/>
        </w:rPr>
        <w:t>26</w:t>
      </w:r>
      <w:r>
        <w:rPr>
          <w:rFonts w:cs="Times New Roman"/>
          <w:color w:val="000000" w:themeColor="text1"/>
          <w:u w:color="000000" w:themeColor="text1"/>
        </w:rPr>
        <w:noBreakHyphen/>
      </w:r>
      <w:r w:rsidRPr="007C638E">
        <w:rPr>
          <w:rFonts w:cs="Times New Roman"/>
          <w:color w:val="000000" w:themeColor="text1"/>
          <w:u w:color="000000" w:themeColor="text1"/>
        </w:rPr>
        <w:t>170.</w:t>
      </w:r>
      <w:r w:rsidRPr="007C638E">
        <w:rPr>
          <w:rFonts w:cs="Times New Roman"/>
          <w:color w:val="000000" w:themeColor="text1"/>
          <w:u w:color="000000" w:themeColor="text1"/>
        </w:rPr>
        <w:tab/>
        <w:t xml:space="preserve">If any provision of this chapter or its application to any person or circumstances is held invalid, the invalidity does not </w:t>
      </w:r>
      <w:r w:rsidRPr="007C638E">
        <w:rPr>
          <w:rFonts w:cs="Times New Roman"/>
          <w:color w:val="000000" w:themeColor="text1"/>
          <w:u w:color="000000" w:themeColor="text1"/>
        </w:rPr>
        <w:lastRenderedPageBreak/>
        <w:t>affect other provisions or applications of this chapter that can be given effect without the invalid provision or application, and to this end the provisions of this chapter are severable.”</w:t>
      </w: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26D0C" w:rsidRPr="005C5F28"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C5F28">
        <w:rPr>
          <w:rFonts w:cs="Times New Roman"/>
          <w:b/>
          <w:color w:val="000000" w:themeColor="text1"/>
          <w:u w:color="000000" w:themeColor="text1"/>
        </w:rPr>
        <w:t>Time effective</w:t>
      </w: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6D0C" w:rsidRPr="007C638E"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38E">
        <w:rPr>
          <w:rFonts w:cs="Times New Roman"/>
        </w:rPr>
        <w:t>SECTION</w:t>
      </w:r>
      <w:r w:rsidRPr="007C638E">
        <w:rPr>
          <w:rFonts w:cs="Times New Roman"/>
        </w:rPr>
        <w:tab/>
        <w:t>2.</w:t>
      </w:r>
      <w:r w:rsidRPr="007C638E">
        <w:rPr>
          <w:rFonts w:cs="Times New Roman"/>
        </w:rPr>
        <w:tab/>
        <w:t>This act takes effect upon approval by the Governor.</w:t>
      </w: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26D0C" w:rsidRDefault="00426D0C"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426D0C" w:rsidRDefault="00426D0C" w:rsidP="00426D0C">
      <w:pPr>
        <w:jc w:val="both"/>
        <w:rPr>
          <w:color w:val="000000" w:themeColor="text1"/>
        </w:rPr>
      </w:pPr>
    </w:p>
    <w:p w:rsidR="00426D0C" w:rsidRDefault="00426D0C" w:rsidP="00426D0C">
      <w:pPr>
        <w:jc w:val="both"/>
        <w:rPr>
          <w:color w:val="000000" w:themeColor="text1"/>
        </w:rPr>
      </w:pPr>
      <w:r>
        <w:rPr>
          <w:color w:val="000000" w:themeColor="text1"/>
        </w:rPr>
        <w:t>Approved the 19</w:t>
      </w:r>
      <w:r w:rsidRPr="007573A6">
        <w:rPr>
          <w:color w:val="000000" w:themeColor="text1"/>
          <w:vertAlign w:val="superscript"/>
        </w:rPr>
        <w:t>th</w:t>
      </w:r>
      <w:r>
        <w:rPr>
          <w:color w:val="000000" w:themeColor="text1"/>
        </w:rPr>
        <w:t xml:space="preserve"> day of May, 2017.</w:t>
      </w:r>
    </w:p>
    <w:p w:rsidR="00426D0C" w:rsidRDefault="00426D0C" w:rsidP="00426D0C">
      <w:pPr>
        <w:jc w:val="center"/>
        <w:rPr>
          <w:color w:val="000000" w:themeColor="text1"/>
        </w:rPr>
      </w:pPr>
    </w:p>
    <w:p w:rsidR="00426D0C" w:rsidRDefault="00426D0C" w:rsidP="00426D0C">
      <w:pPr>
        <w:jc w:val="center"/>
        <w:rPr>
          <w:color w:val="000000" w:themeColor="text1"/>
        </w:rPr>
      </w:pPr>
      <w:r>
        <w:rPr>
          <w:color w:val="000000" w:themeColor="text1"/>
        </w:rPr>
        <w:t>__________</w:t>
      </w:r>
    </w:p>
    <w:p w:rsidR="005605D7" w:rsidRDefault="005605D7" w:rsidP="00426D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05D7" w:rsidSect="005605D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6A3" w:rsidRDefault="00EA66A3" w:rsidP="007D5FAC">
      <w:r>
        <w:separator/>
      </w:r>
    </w:p>
  </w:endnote>
  <w:endnote w:type="continuationSeparator" w:id="0">
    <w:p w:rsidR="00EA66A3" w:rsidRDefault="00EA66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D7" w:rsidRPr="005605D7" w:rsidRDefault="005605D7" w:rsidP="005605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6F98">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D7" w:rsidRDefault="0056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6A3" w:rsidRDefault="00EA66A3" w:rsidP="007D5FAC">
      <w:r>
        <w:separator/>
      </w:r>
    </w:p>
  </w:footnote>
  <w:footnote w:type="continuationSeparator" w:id="0">
    <w:p w:rsidR="00EA66A3" w:rsidRDefault="00EA66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003"/>
    <w:docVar w:name="ActSecretary" w:val="Charlton"/>
    <w:docVar w:name="ActSIdno" w:val="(96)  4003VR17"/>
    <w:docVar w:name="clipname" w:val="4003VR17"/>
    <w:docVar w:name="dvBillNumber" w:val="4003"/>
    <w:docVar w:name="dvBillNumberPrefix" w:val="H"/>
    <w:docVar w:name="dvOriginalBody" w:val="House"/>
    <w:docVar w:name="HOUSEACTFULLPATH" w:val="L:\COUNCIL\ACTS\4003VR17.DOCX"/>
    <w:docVar w:name="OrigHOUSEBillNo" w:val="4003"/>
    <w:docVar w:name="WhatActtype" w:val="AN ACT"/>
  </w:docVars>
  <w:rsids>
    <w:rsidRoot w:val="00EA66A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2F9"/>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5210"/>
    <w:rsid w:val="00131CE5"/>
    <w:rsid w:val="00135DDF"/>
    <w:rsid w:val="00136AA0"/>
    <w:rsid w:val="00141278"/>
    <w:rsid w:val="0014525A"/>
    <w:rsid w:val="001626DB"/>
    <w:rsid w:val="00170F30"/>
    <w:rsid w:val="00172771"/>
    <w:rsid w:val="001747A9"/>
    <w:rsid w:val="001750EA"/>
    <w:rsid w:val="001754BB"/>
    <w:rsid w:val="0018353C"/>
    <w:rsid w:val="00195F4E"/>
    <w:rsid w:val="001A5B78"/>
    <w:rsid w:val="001A646B"/>
    <w:rsid w:val="001A75A0"/>
    <w:rsid w:val="001B201B"/>
    <w:rsid w:val="001B65B6"/>
    <w:rsid w:val="001B78F9"/>
    <w:rsid w:val="001B7FF5"/>
    <w:rsid w:val="001C390F"/>
    <w:rsid w:val="001C603D"/>
    <w:rsid w:val="001C6957"/>
    <w:rsid w:val="001D0755"/>
    <w:rsid w:val="001D279C"/>
    <w:rsid w:val="001D6463"/>
    <w:rsid w:val="001E01BD"/>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13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2053"/>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F98"/>
    <w:rsid w:val="003C74A1"/>
    <w:rsid w:val="003D2A73"/>
    <w:rsid w:val="003D5BF8"/>
    <w:rsid w:val="003D5D65"/>
    <w:rsid w:val="003E2FE8"/>
    <w:rsid w:val="00400828"/>
    <w:rsid w:val="00412B47"/>
    <w:rsid w:val="00412C45"/>
    <w:rsid w:val="004157C4"/>
    <w:rsid w:val="0041760A"/>
    <w:rsid w:val="00417A9C"/>
    <w:rsid w:val="00423310"/>
    <w:rsid w:val="00426D0C"/>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5D7"/>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5F28"/>
    <w:rsid w:val="005D3279"/>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6D7"/>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067B"/>
    <w:rsid w:val="007A44AD"/>
    <w:rsid w:val="007A4BCD"/>
    <w:rsid w:val="007A73EA"/>
    <w:rsid w:val="007A7F6B"/>
    <w:rsid w:val="007B0E40"/>
    <w:rsid w:val="007B28A1"/>
    <w:rsid w:val="007B296A"/>
    <w:rsid w:val="007B2D27"/>
    <w:rsid w:val="007B59FD"/>
    <w:rsid w:val="007C2B16"/>
    <w:rsid w:val="007C3D08"/>
    <w:rsid w:val="007C3EC8"/>
    <w:rsid w:val="007C7B7F"/>
    <w:rsid w:val="007D5FAC"/>
    <w:rsid w:val="007E19E6"/>
    <w:rsid w:val="007E3A81"/>
    <w:rsid w:val="007E7FA4"/>
    <w:rsid w:val="007F3494"/>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5386"/>
    <w:rsid w:val="008F4CA1"/>
    <w:rsid w:val="008F510F"/>
    <w:rsid w:val="008F5F0A"/>
    <w:rsid w:val="008F7D5B"/>
    <w:rsid w:val="00900319"/>
    <w:rsid w:val="00906538"/>
    <w:rsid w:val="009076FA"/>
    <w:rsid w:val="00916EE8"/>
    <w:rsid w:val="009254E2"/>
    <w:rsid w:val="00926C29"/>
    <w:rsid w:val="00940A90"/>
    <w:rsid w:val="00947CC5"/>
    <w:rsid w:val="00950570"/>
    <w:rsid w:val="00953BF7"/>
    <w:rsid w:val="009560AB"/>
    <w:rsid w:val="009631DC"/>
    <w:rsid w:val="009634D4"/>
    <w:rsid w:val="00966B42"/>
    <w:rsid w:val="00971351"/>
    <w:rsid w:val="0097332E"/>
    <w:rsid w:val="00974FD7"/>
    <w:rsid w:val="009764B5"/>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97688"/>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0922"/>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7511"/>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4D47"/>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0127"/>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B9B"/>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A09"/>
    <w:rsid w:val="00E33964"/>
    <w:rsid w:val="00E33DFF"/>
    <w:rsid w:val="00E3462F"/>
    <w:rsid w:val="00E36231"/>
    <w:rsid w:val="00E500F1"/>
    <w:rsid w:val="00E5358E"/>
    <w:rsid w:val="00E60357"/>
    <w:rsid w:val="00E61B4C"/>
    <w:rsid w:val="00E62D2C"/>
    <w:rsid w:val="00E71D4E"/>
    <w:rsid w:val="00E757F4"/>
    <w:rsid w:val="00E821B8"/>
    <w:rsid w:val="00E9303D"/>
    <w:rsid w:val="00EA2A3A"/>
    <w:rsid w:val="00EA66A3"/>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C9000F7-2EE8-47DE-90B5-0BDDA242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05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C4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D7"/>
    <w:rPr>
      <w:rFonts w:ascii="Segoe UI" w:hAnsi="Segoe UI" w:cs="Segoe UI"/>
      <w:sz w:val="18"/>
      <w:szCs w:val="18"/>
    </w:rPr>
  </w:style>
  <w:style w:type="table" w:styleId="TableGrid">
    <w:name w:val="Table Grid"/>
    <w:basedOn w:val="TableNormal"/>
    <w:uiPriority w:val="59"/>
    <w:rsid w:val="0031205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05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D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15.docx" TargetMode="External"/><Relationship Id="rId13" Type="http://schemas.openxmlformats.org/officeDocument/2006/relationships/hyperlink" Target="file:///h:\hj\20170329.docx" TargetMode="External"/><Relationship Id="rId18" Type="http://schemas.openxmlformats.org/officeDocument/2006/relationships/hyperlink" Target="file:///h:\sj\20170503.docx" TargetMode="External"/><Relationship Id="rId26" Type="http://schemas.openxmlformats.org/officeDocument/2006/relationships/hyperlink" Target="file:///p:\pprever\2017-18\4003_20170328.docx" TargetMode="External"/><Relationship Id="rId3" Type="http://schemas.openxmlformats.org/officeDocument/2006/relationships/settings" Target="settings.xml"/><Relationship Id="rId21" Type="http://schemas.openxmlformats.org/officeDocument/2006/relationships/hyperlink" Target="file:///h:\hj\20170510.docx" TargetMode="External"/><Relationship Id="rId7" Type="http://schemas.openxmlformats.org/officeDocument/2006/relationships/hyperlink" Target="file:///h:\hj\20170315.docx" TargetMode="External"/><Relationship Id="rId12" Type="http://schemas.openxmlformats.org/officeDocument/2006/relationships/hyperlink" Target="file:///h:\hj\20170328.docx" TargetMode="External"/><Relationship Id="rId17" Type="http://schemas.openxmlformats.org/officeDocument/2006/relationships/hyperlink" Target="file:///h:\sj\20170503.docx" TargetMode="External"/><Relationship Id="rId25" Type="http://schemas.openxmlformats.org/officeDocument/2006/relationships/hyperlink" Target="file:///p:\pprever\2017-18\4003_2017032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20.docx" TargetMode="External"/><Relationship Id="rId20" Type="http://schemas.openxmlformats.org/officeDocument/2006/relationships/hyperlink" Target="file:///h:\sj\20170504.docx" TargetMode="External"/><Relationship Id="rId29" Type="http://schemas.openxmlformats.org/officeDocument/2006/relationships/hyperlink" Target="file:///p:\pprever\2017-18\4003_2017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8.docx" TargetMode="External"/><Relationship Id="rId24" Type="http://schemas.openxmlformats.org/officeDocument/2006/relationships/hyperlink" Target="file:///p:\pprever\2017-18\4003_20170315.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329.docx" TargetMode="External"/><Relationship Id="rId23" Type="http://schemas.openxmlformats.org/officeDocument/2006/relationships/hyperlink" Target="http://www.scstatehouse.gov/billsearch.php?billnumbers=4003&amp;session=122&amp;summary=B" TargetMode="External"/><Relationship Id="rId28" Type="http://schemas.openxmlformats.org/officeDocument/2006/relationships/hyperlink" Target="file:///p:\pprever\2017-18\4003_20170503.docx" TargetMode="External"/><Relationship Id="rId10" Type="http://schemas.openxmlformats.org/officeDocument/2006/relationships/hyperlink" Target="file:///h:\hj\20170328.docx" TargetMode="External"/><Relationship Id="rId19" Type="http://schemas.openxmlformats.org/officeDocument/2006/relationships/hyperlink" Target="file:///h:\sj\201705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70323.docx" TargetMode="External"/><Relationship Id="rId14" Type="http://schemas.openxmlformats.org/officeDocument/2006/relationships/hyperlink" Target="file:///h:\sj\20170329.docx" TargetMode="External"/><Relationship Id="rId22" Type="http://schemas.openxmlformats.org/officeDocument/2006/relationships/hyperlink" Target="file:///h:\hj\20170510.docx" TargetMode="External"/><Relationship Id="rId27" Type="http://schemas.openxmlformats.org/officeDocument/2006/relationships/hyperlink" Target="file:///p:\pprever\2017-18\4003_20170420.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F8E1-718F-4A17-BAF8-1A41F9AC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9F817545</Template>
  <TotalTime>0</TotalTime>
  <Pages>11</Pages>
  <Words>3708</Words>
  <Characters>19693</Characters>
  <Application>Microsoft Office Word</Application>
  <DocSecurity>0</DocSecurity>
  <Lines>457</Lines>
  <Paragraphs>136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4003: Produce Safety Act - South Carolina Legislature Online</dc:title>
  <dc:subject/>
  <dc:creator>%USERNAME%</dc:creator>
  <cp:keywords/>
  <dc:description/>
  <cp:lastModifiedBy>Lavarres Lynch</cp:lastModifiedBy>
  <cp:revision>2</cp:revision>
  <cp:lastPrinted>2017-05-10T19:08:00Z</cp:lastPrinted>
  <dcterms:created xsi:type="dcterms:W3CDTF">2017-06-26T19:26:00Z</dcterms:created>
  <dcterms:modified xsi:type="dcterms:W3CDTF">2017-06-26T19:26:00Z</dcterms:modified>
</cp:coreProperties>
</file>