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F18" w:rsidRDefault="00B54F18" w:rsidP="00B54F18">
      <w:pPr>
        <w:widowControl w:val="0"/>
        <w:jc w:val="center"/>
      </w:pPr>
      <w:r w:rsidRPr="00B54F18">
        <w:rPr>
          <w:b/>
        </w:rPr>
        <w:t>South Carolina General Assembly</w:t>
      </w:r>
    </w:p>
    <w:p w:rsidR="00B54F18" w:rsidRDefault="00B54F18" w:rsidP="00B54F18">
      <w:pPr>
        <w:widowControl w:val="0"/>
        <w:jc w:val="center"/>
      </w:pPr>
      <w:r>
        <w:t>122nd Session, 2017-2018</w:t>
      </w:r>
    </w:p>
    <w:p w:rsidR="00B54F18" w:rsidRDefault="00B54F18" w:rsidP="00B54F18">
      <w:pPr>
        <w:widowControl w:val="0"/>
        <w:jc w:val="left"/>
      </w:pPr>
    </w:p>
    <w:p w:rsidR="00B54F18" w:rsidRDefault="00B54F18" w:rsidP="00B54F18">
      <w:pPr>
        <w:widowControl w:val="0"/>
        <w:jc w:val="left"/>
        <w:rPr>
          <w:b/>
        </w:rPr>
      </w:pPr>
      <w:r w:rsidRPr="00B54F18">
        <w:rPr>
          <w:b/>
        </w:rPr>
        <w:t>H. 4383</w:t>
      </w:r>
    </w:p>
    <w:p w:rsidR="00B54F18" w:rsidRDefault="00B54F18" w:rsidP="00B54F18">
      <w:pPr>
        <w:widowControl w:val="0"/>
        <w:jc w:val="left"/>
        <w:rPr>
          <w:b/>
        </w:rPr>
      </w:pPr>
    </w:p>
    <w:p w:rsidR="00B54F18" w:rsidRDefault="00B54F18" w:rsidP="00B54F18">
      <w:pPr>
        <w:widowControl w:val="0"/>
        <w:jc w:val="left"/>
      </w:pPr>
      <w:r w:rsidRPr="00B54F18">
        <w:rPr>
          <w:b/>
        </w:rPr>
        <w:t>STATUS INFORMATION</w:t>
      </w:r>
    </w:p>
    <w:p w:rsidR="00B54F18" w:rsidRDefault="00B54F18" w:rsidP="00B54F18">
      <w:pPr>
        <w:widowControl w:val="0"/>
        <w:jc w:val="left"/>
      </w:pPr>
    </w:p>
    <w:p w:rsidR="00B54F18" w:rsidRDefault="00B54F18" w:rsidP="00B54F18">
      <w:pPr>
        <w:widowControl w:val="0"/>
        <w:jc w:val="left"/>
      </w:pPr>
      <w:r>
        <w:t>House Resolution</w:t>
      </w:r>
    </w:p>
    <w:p w:rsidR="00B54F18" w:rsidRDefault="00AB7A36" w:rsidP="00B54F18">
      <w:pPr>
        <w:widowControl w:val="0"/>
        <w:jc w:val="left"/>
      </w:pPr>
      <w:r>
        <w:t>Sponsors: Reps. Gilliard and McEachern</w:t>
      </w:r>
    </w:p>
    <w:p w:rsidR="00B54F18" w:rsidRDefault="00B54F18" w:rsidP="00B54F18">
      <w:pPr>
        <w:widowControl w:val="0"/>
        <w:jc w:val="left"/>
      </w:pPr>
      <w:r>
        <w:t>Document Path: l:\council\bills\bbm\9701sa18.docx</w:t>
      </w:r>
    </w:p>
    <w:p w:rsidR="00B54F18" w:rsidRDefault="00B54F18" w:rsidP="00B54F18">
      <w:pPr>
        <w:widowControl w:val="0"/>
        <w:jc w:val="left"/>
      </w:pPr>
    </w:p>
    <w:p w:rsidR="003A5A81" w:rsidRDefault="003A5A81" w:rsidP="00B54F18">
      <w:pPr>
        <w:widowControl w:val="0"/>
        <w:jc w:val="left"/>
      </w:pPr>
      <w:r>
        <w:t>Introduced in the House on January 9, 2018</w:t>
      </w:r>
    </w:p>
    <w:p w:rsidR="003A5A81" w:rsidRPr="003A5A81" w:rsidRDefault="003A5A81" w:rsidP="00B54F18">
      <w:pPr>
        <w:widowControl w:val="0"/>
        <w:jc w:val="left"/>
      </w:pPr>
      <w:r>
        <w:t xml:space="preserve">Currently residing in the House Committee on </w:t>
      </w:r>
      <w:r w:rsidRPr="003A5A81">
        <w:rPr>
          <w:b/>
        </w:rPr>
        <w:t>Invitations and Memorial Resolutions</w:t>
      </w:r>
    </w:p>
    <w:p w:rsidR="003A5A81" w:rsidRDefault="003A5A81" w:rsidP="00B54F18">
      <w:pPr>
        <w:widowControl w:val="0"/>
        <w:jc w:val="left"/>
      </w:pPr>
    </w:p>
    <w:p w:rsidR="00B54F18" w:rsidRDefault="00B54F18" w:rsidP="00B54F18">
      <w:pPr>
        <w:widowControl w:val="0"/>
        <w:jc w:val="left"/>
      </w:pPr>
      <w:r>
        <w:t xml:space="preserve">Summary: </w:t>
      </w:r>
      <w:r w:rsidR="00AB651E">
        <w:t>Attorney General; Equifax data breach</w:t>
      </w:r>
    </w:p>
    <w:p w:rsidR="00B54F18" w:rsidRDefault="00B54F18" w:rsidP="00B54F18">
      <w:pPr>
        <w:widowControl w:val="0"/>
        <w:jc w:val="left"/>
      </w:pPr>
    </w:p>
    <w:p w:rsidR="00B54F18" w:rsidRDefault="00B54F18" w:rsidP="00B54F18">
      <w:pPr>
        <w:widowControl w:val="0"/>
        <w:jc w:val="left"/>
      </w:pPr>
    </w:p>
    <w:p w:rsidR="00B54F18" w:rsidRDefault="00B54F18" w:rsidP="00B54F18">
      <w:pPr>
        <w:widowControl w:val="0"/>
        <w:tabs>
          <w:tab w:val="center" w:pos="590"/>
          <w:tab w:val="center" w:pos="1440"/>
          <w:tab w:val="left" w:pos="1872"/>
          <w:tab w:val="left" w:pos="9187"/>
        </w:tabs>
        <w:jc w:val="left"/>
      </w:pPr>
      <w:r w:rsidRPr="00B54F18">
        <w:rPr>
          <w:b/>
        </w:rPr>
        <w:t>HISTORY OF LEGISLATIVE ACTIONS</w:t>
      </w:r>
    </w:p>
    <w:p w:rsidR="00B54F18" w:rsidRDefault="00B54F18" w:rsidP="00B54F18">
      <w:pPr>
        <w:widowControl w:val="0"/>
        <w:tabs>
          <w:tab w:val="center" w:pos="590"/>
          <w:tab w:val="center" w:pos="1440"/>
          <w:tab w:val="left" w:pos="1872"/>
          <w:tab w:val="left" w:pos="9187"/>
        </w:tabs>
        <w:jc w:val="left"/>
      </w:pPr>
    </w:p>
    <w:p w:rsidR="00B54F18" w:rsidRPr="00B54F18" w:rsidRDefault="00B54F18" w:rsidP="00B54F18">
      <w:pPr>
        <w:widowControl w:val="0"/>
        <w:tabs>
          <w:tab w:val="center" w:pos="590"/>
          <w:tab w:val="center" w:pos="1440"/>
          <w:tab w:val="left" w:pos="1872"/>
          <w:tab w:val="left" w:pos="9187"/>
        </w:tabs>
        <w:jc w:val="left"/>
      </w:pPr>
      <w:r w:rsidRPr="00B54F18">
        <w:rPr>
          <w:u w:val="single"/>
        </w:rPr>
        <w:tab/>
        <w:t>Date</w:t>
      </w:r>
      <w:r w:rsidRPr="00B54F18">
        <w:rPr>
          <w:u w:val="single"/>
        </w:rPr>
        <w:tab/>
        <w:t>Body</w:t>
      </w:r>
      <w:r w:rsidRPr="00B54F18">
        <w:rPr>
          <w:u w:val="single"/>
        </w:rPr>
        <w:tab/>
        <w:t>Action Description with journal page number</w:t>
      </w:r>
      <w:r w:rsidRPr="00B54F18">
        <w:rPr>
          <w:u w:val="single"/>
        </w:rPr>
        <w:tab/>
      </w:r>
    </w:p>
    <w:p w:rsidR="00552913" w:rsidRDefault="00552913" w:rsidP="00552913">
      <w:pPr>
        <w:widowControl w:val="0"/>
        <w:tabs>
          <w:tab w:val="right" w:pos="1008"/>
          <w:tab w:val="left" w:pos="1152"/>
          <w:tab w:val="left" w:pos="1872"/>
          <w:tab w:val="left" w:pos="9187"/>
        </w:tabs>
        <w:ind w:left="2088" w:hanging="2088"/>
        <w:jc w:val="left"/>
      </w:pPr>
      <w:r>
        <w:tab/>
        <w:t>11/9/2017</w:t>
      </w:r>
      <w:r>
        <w:tab/>
        <w:t>House</w:t>
      </w:r>
      <w:r>
        <w:tab/>
      </w:r>
      <w:r w:rsidRPr="00593947">
        <w:t>Prefiled</w:t>
      </w:r>
    </w:p>
    <w:p w:rsidR="00552913" w:rsidRDefault="00552913" w:rsidP="00552913">
      <w:pPr>
        <w:widowControl w:val="0"/>
        <w:tabs>
          <w:tab w:val="right" w:pos="1008"/>
          <w:tab w:val="left" w:pos="1152"/>
          <w:tab w:val="left" w:pos="1872"/>
          <w:tab w:val="left" w:pos="9187"/>
        </w:tabs>
        <w:ind w:left="2088" w:hanging="2088"/>
        <w:jc w:val="left"/>
      </w:pPr>
      <w:r>
        <w:tab/>
        <w:t>11/9/2017</w:t>
      </w:r>
      <w:r>
        <w:tab/>
        <w:t>House</w:t>
      </w:r>
      <w:r>
        <w:tab/>
      </w:r>
      <w:r w:rsidRPr="00593947">
        <w:t>Referred to Commit</w:t>
      </w:r>
      <w:r>
        <w:t xml:space="preserve">tee on </w:t>
      </w:r>
      <w:r w:rsidRPr="00593947">
        <w:rPr>
          <w:b/>
        </w:rPr>
        <w:t>Invitations and Memorial Resolutions</w:t>
      </w:r>
    </w:p>
    <w:p w:rsidR="00552913" w:rsidRDefault="00552913" w:rsidP="00552913">
      <w:pPr>
        <w:widowControl w:val="0"/>
        <w:tabs>
          <w:tab w:val="right" w:pos="1008"/>
          <w:tab w:val="left" w:pos="1152"/>
          <w:tab w:val="left" w:pos="1872"/>
          <w:tab w:val="left" w:pos="9187"/>
        </w:tabs>
        <w:ind w:left="2088" w:hanging="2088"/>
        <w:jc w:val="left"/>
      </w:pPr>
      <w:r>
        <w:tab/>
        <w:t>1/9/2018</w:t>
      </w:r>
      <w:r>
        <w:tab/>
        <w:t>House</w:t>
      </w:r>
      <w:r>
        <w:tab/>
      </w:r>
      <w:r w:rsidRPr="00593947">
        <w:t>Introduced (</w:t>
      </w:r>
      <w:hyperlink r:id="rId7" w:history="1">
        <w:r w:rsidRPr="00593947">
          <w:rPr>
            <w:rStyle w:val="Hyperlink"/>
          </w:rPr>
          <w:t>House Journal</w:t>
        </w:r>
        <w:r w:rsidRPr="00593947">
          <w:rPr>
            <w:rStyle w:val="Hyperlink"/>
          </w:rPr>
          <w:noBreakHyphen/>
          <w:t>page 72</w:t>
        </w:r>
      </w:hyperlink>
      <w:r w:rsidRPr="00593947">
        <w:t>)</w:t>
      </w:r>
    </w:p>
    <w:p w:rsidR="00552913" w:rsidRDefault="00552913" w:rsidP="00552913">
      <w:pPr>
        <w:widowControl w:val="0"/>
        <w:tabs>
          <w:tab w:val="right" w:pos="1008"/>
          <w:tab w:val="left" w:pos="1152"/>
          <w:tab w:val="left" w:pos="1872"/>
          <w:tab w:val="left" w:pos="9187"/>
        </w:tabs>
        <w:ind w:left="2088" w:hanging="2088"/>
        <w:jc w:val="left"/>
      </w:pPr>
      <w:r>
        <w:tab/>
        <w:t>1/9/2018</w:t>
      </w:r>
      <w:r>
        <w:tab/>
        <w:t>House</w:t>
      </w:r>
      <w:r>
        <w:tab/>
      </w:r>
      <w:r w:rsidRPr="00593947">
        <w:t>Referred to Commit</w:t>
      </w:r>
      <w:r>
        <w:t xml:space="preserve">tee on </w:t>
      </w:r>
      <w:r w:rsidRPr="00593947">
        <w:rPr>
          <w:b/>
        </w:rPr>
        <w:t>Invitations and Memorial Resolutions</w:t>
      </w:r>
      <w:r w:rsidRPr="00593947">
        <w:t xml:space="preserve"> (</w:t>
      </w:r>
      <w:hyperlink r:id="rId8" w:history="1">
        <w:r w:rsidRPr="00593947">
          <w:rPr>
            <w:rStyle w:val="Hyperlink"/>
          </w:rPr>
          <w:t>House Journal</w:t>
        </w:r>
        <w:r w:rsidRPr="00593947">
          <w:rPr>
            <w:rStyle w:val="Hyperlink"/>
          </w:rPr>
          <w:noBreakHyphen/>
          <w:t>page 72</w:t>
        </w:r>
      </w:hyperlink>
      <w:r w:rsidRPr="00593947">
        <w:t>)</w:t>
      </w:r>
    </w:p>
    <w:p w:rsidR="00552913" w:rsidRDefault="00552913" w:rsidP="00552913">
      <w:pPr>
        <w:widowControl w:val="0"/>
        <w:tabs>
          <w:tab w:val="right" w:pos="1008"/>
          <w:tab w:val="left" w:pos="1152"/>
          <w:tab w:val="left" w:pos="1872"/>
          <w:tab w:val="left" w:pos="9187"/>
        </w:tabs>
        <w:ind w:left="2088" w:hanging="2088"/>
        <w:jc w:val="left"/>
      </w:pPr>
    </w:p>
    <w:p w:rsidR="00B54F18" w:rsidRDefault="00B54F18" w:rsidP="00B54F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4F18">
          <w:rPr>
            <w:rStyle w:val="Hyperlink"/>
          </w:rPr>
          <w:t>legislative information</w:t>
        </w:r>
      </w:hyperlink>
      <w:r>
        <w:t xml:space="preserve"> at the website</w:t>
      </w:r>
    </w:p>
    <w:p w:rsidR="00B54F18" w:rsidRDefault="00B54F18" w:rsidP="00B54F18">
      <w:pPr>
        <w:widowControl w:val="0"/>
        <w:tabs>
          <w:tab w:val="right" w:pos="1008"/>
          <w:tab w:val="left" w:pos="1152"/>
          <w:tab w:val="left" w:pos="1872"/>
          <w:tab w:val="left" w:pos="9187"/>
        </w:tabs>
        <w:ind w:left="2088" w:hanging="2088"/>
        <w:jc w:val="left"/>
      </w:pPr>
    </w:p>
    <w:p w:rsidR="00B54F18" w:rsidRPr="00B54F18" w:rsidRDefault="00B54F18" w:rsidP="00B54F18">
      <w:pPr>
        <w:widowControl w:val="0"/>
        <w:tabs>
          <w:tab w:val="right" w:pos="1008"/>
          <w:tab w:val="left" w:pos="1152"/>
          <w:tab w:val="left" w:pos="1872"/>
          <w:tab w:val="left" w:pos="9187"/>
        </w:tabs>
        <w:ind w:left="2088" w:hanging="2088"/>
        <w:jc w:val="left"/>
      </w:pPr>
    </w:p>
    <w:p w:rsidR="00B54F18" w:rsidRDefault="00B54F18" w:rsidP="00B54F18">
      <w:pPr>
        <w:widowControl w:val="0"/>
        <w:jc w:val="left"/>
      </w:pPr>
      <w:r w:rsidRPr="00B54F18">
        <w:rPr>
          <w:b/>
        </w:rPr>
        <w:t>VERSIONS OF THIS BILL</w:t>
      </w:r>
    </w:p>
    <w:p w:rsidR="00B54F18" w:rsidRDefault="00B54F18" w:rsidP="00B54F18">
      <w:pPr>
        <w:widowControl w:val="0"/>
        <w:jc w:val="left"/>
      </w:pPr>
    </w:p>
    <w:p w:rsidR="00B54F18" w:rsidRDefault="00A03906" w:rsidP="00B54F18">
      <w:pPr>
        <w:widowControl w:val="0"/>
        <w:jc w:val="left"/>
      </w:pPr>
      <w:hyperlink r:id="rId10" w:history="1">
        <w:r w:rsidR="00B54F18">
          <w:rPr>
            <w:rStyle w:val="Hyperlink"/>
          </w:rPr>
          <w:t>11/9/2017</w:t>
        </w:r>
      </w:hyperlink>
    </w:p>
    <w:p w:rsidR="00B54F18" w:rsidRDefault="00B54F18" w:rsidP="00B54F18"/>
    <w:p w:rsidR="00B54F18" w:rsidRDefault="00B54F18" w:rsidP="00B54F18">
      <w:pPr>
        <w:sectPr w:rsidR="00B54F18" w:rsidSect="00B54F18">
          <w:pgSz w:w="12240" w:h="15840" w:code="1"/>
          <w:pgMar w:top="1080" w:right="1440" w:bottom="1080" w:left="1440" w:header="720" w:footer="720" w:gutter="0"/>
          <w:cols w:space="720"/>
          <w:noEndnote/>
          <w:docGrid w:linePitch="360"/>
        </w:sectPr>
      </w:pPr>
    </w:p>
    <w:p w:rsidR="00891407" w:rsidRDefault="008914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9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THE ATTORNEY GENERAL TO FILE A LAWSUIT AGAINST EQUIFAX FOR THE DATA BREACH THAT AFFECTED OVER TWO MILLION SOUTH CAROLINA RESIDENTS.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9EE" w:rsidRPr="00B476F2" w:rsidRDefault="002B194D"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59EE" w:rsidRPr="00B476F2">
        <w:rPr>
          <w:color w:val="000000" w:themeColor="text1"/>
          <w:u w:color="000000" w:themeColor="text1"/>
        </w:rPr>
        <w:t>the data breach of Equifax potentially compromised the personal data of one hundred forty</w:t>
      </w:r>
      <w:r w:rsidR="002F18E2">
        <w:rPr>
          <w:color w:val="000000" w:themeColor="text1"/>
          <w:u w:color="000000" w:themeColor="text1"/>
        </w:rPr>
        <w:noBreakHyphen/>
      </w:r>
      <w:r w:rsidR="00D359EE" w:rsidRPr="00B476F2">
        <w:rPr>
          <w:color w:val="000000" w:themeColor="text1"/>
          <w:u w:color="000000" w:themeColor="text1"/>
        </w:rPr>
        <w:t>three million consumers</w:t>
      </w:r>
      <w:r w:rsidR="00D359EE">
        <w:rPr>
          <w:color w:val="000000" w:themeColor="text1"/>
          <w:u w:color="000000" w:themeColor="text1"/>
        </w:rPr>
        <w:t>,</w:t>
      </w:r>
      <w:r w:rsidR="00D359EE" w:rsidRPr="00B476F2">
        <w:rPr>
          <w:color w:val="000000" w:themeColor="text1"/>
          <w:u w:color="000000" w:themeColor="text1"/>
        </w:rPr>
        <w:t xml:space="preserve"> including over two million in South Carolina. Equifax failed to protect sensitive and personal information of consumers which could be damaging in the future;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Equifax left private consumer information exposed to hackers by relying on certain computer code that it knew or should have known was vulnerable to exploitation without having in place safeguards sufficient to prevent the consumer data it stored in its system;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still</w:t>
      </w:r>
      <w:r w:rsidR="002F18E2">
        <w:rPr>
          <w:color w:val="000000" w:themeColor="text1"/>
          <w:u w:color="000000" w:themeColor="text1"/>
        </w:rPr>
        <w:noBreakHyphen/>
      </w:r>
      <w:r w:rsidRPr="00B476F2">
        <w:rPr>
          <w:color w:val="000000" w:themeColor="text1"/>
          <w:u w:color="000000" w:themeColor="text1"/>
        </w:rPr>
        <w:t>unknown third parties infiltrated Equifax</w:t>
      </w:r>
      <w:r w:rsidR="002F18E2" w:rsidRPr="002F18E2">
        <w:rPr>
          <w:color w:val="000000" w:themeColor="text1"/>
          <w:u w:color="000000" w:themeColor="text1"/>
        </w:rPr>
        <w:t>’</w:t>
      </w:r>
      <w:r w:rsidRPr="00B476F2">
        <w:rPr>
          <w:color w:val="000000" w:themeColor="text1"/>
          <w:u w:color="000000" w:themeColor="text1"/>
        </w:rPr>
        <w:t>s computer system through a page on its website that allows consumers to submit information to initiate and support a formal dispute of information in their credit reports;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once in, the unauthorized third parties were able to access and likely stole consumer information from Equifax</w:t>
      </w:r>
      <w:r w:rsidR="002F18E2" w:rsidRPr="002F18E2">
        <w:rPr>
          <w:color w:val="000000" w:themeColor="text1"/>
          <w:u w:color="000000" w:themeColor="text1"/>
        </w:rPr>
        <w:t>’</w:t>
      </w:r>
      <w:r w:rsidRPr="00B476F2">
        <w:rPr>
          <w:color w:val="000000" w:themeColor="text1"/>
          <w:u w:color="000000" w:themeColor="text1"/>
        </w:rPr>
        <w:t>s network. The hackers were present in Equifax</w:t>
      </w:r>
      <w:r w:rsidR="002F18E2" w:rsidRPr="002F18E2">
        <w:rPr>
          <w:color w:val="000000" w:themeColor="text1"/>
          <w:u w:color="000000" w:themeColor="text1"/>
        </w:rPr>
        <w:t>’</w:t>
      </w:r>
      <w:r w:rsidRPr="00B476F2">
        <w:rPr>
          <w:color w:val="000000" w:themeColor="text1"/>
          <w:u w:color="000000" w:themeColor="text1"/>
        </w:rPr>
        <w:t>s system from at least May 2017 through the end of July 2017 without Equifax detecting them;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 xml:space="preserve">Whereas, although fixes for the computer code vulnerability were available to Equifax and posted on at least one </w:t>
      </w:r>
      <w:r>
        <w:rPr>
          <w:color w:val="000000" w:themeColor="text1"/>
          <w:u w:color="000000" w:themeColor="text1"/>
        </w:rPr>
        <w:t>United States</w:t>
      </w:r>
      <w:r w:rsidRPr="00B476F2">
        <w:rPr>
          <w:color w:val="000000" w:themeColor="text1"/>
          <w:u w:color="000000" w:themeColor="text1"/>
        </w:rPr>
        <w:t xml:space="preserve"> Government website, the company failed to implement the recommended fixes, or otherwise put in place other safeguards and </w:t>
      </w:r>
      <w:r w:rsidRPr="00B476F2">
        <w:rPr>
          <w:color w:val="000000" w:themeColor="text1"/>
          <w:u w:color="000000" w:themeColor="text1"/>
        </w:rPr>
        <w:lastRenderedPageBreak/>
        <w:t>security controls, such as encryption, that would sufficiently protect consumers</w:t>
      </w:r>
      <w:r w:rsidR="002F18E2" w:rsidRPr="002F18E2">
        <w:rPr>
          <w:color w:val="000000" w:themeColor="text1"/>
          <w:u w:color="000000" w:themeColor="text1"/>
        </w:rPr>
        <w:t>’</w:t>
      </w:r>
      <w:r w:rsidRPr="00B476F2">
        <w:rPr>
          <w:color w:val="000000" w:themeColor="text1"/>
          <w:u w:color="000000" w:themeColor="text1"/>
        </w:rPr>
        <w:t xml:space="preserve"> personal data;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Equifax is a credit reporting firm that businesses rely on to make decisions about the credit worthiness of consumers, therefore affecting whether consumers can buy a house, acquire a loan, lease a vehicle, or even get a job. Consumers have little to no control over the information that Equifax acquires about them; and</w:t>
      </w:r>
    </w:p>
    <w:p w:rsidR="00D359EE"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9EE" w:rsidRPr="00B476F2" w:rsidRDefault="00D359EE" w:rsidP="00D3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6F2">
        <w:rPr>
          <w:color w:val="000000" w:themeColor="text1"/>
          <w:u w:color="000000" w:themeColor="text1"/>
        </w:rPr>
        <w:t>Whereas, the Attorney General should seek civil penalties, disgorgement of profits, restitution, costs, and attorneys</w:t>
      </w:r>
      <w:r w:rsidR="002F18E2" w:rsidRPr="002F18E2">
        <w:rPr>
          <w:color w:val="000000" w:themeColor="text1"/>
          <w:u w:color="000000" w:themeColor="text1"/>
        </w:rPr>
        <w:t>’</w:t>
      </w:r>
      <w:r w:rsidRPr="00B476F2">
        <w:rPr>
          <w:color w:val="000000" w:themeColor="text1"/>
          <w:u w:color="000000" w:themeColor="text1"/>
        </w:rPr>
        <w:t xml:space="preserve"> fees. The </w:t>
      </w:r>
      <w:r w:rsidR="00B977B4">
        <w:rPr>
          <w:color w:val="000000" w:themeColor="text1"/>
          <w:u w:color="000000" w:themeColor="text1"/>
        </w:rPr>
        <w:t xml:space="preserve">Office of the </w:t>
      </w:r>
      <w:r w:rsidRPr="00B476F2">
        <w:rPr>
          <w:color w:val="000000" w:themeColor="text1"/>
          <w:u w:color="000000" w:themeColor="text1"/>
        </w:rPr>
        <w:t>Attorney General should also seek injunctive relief to prevent harm to South Carolina residents resulting from the company</w:t>
      </w:r>
      <w:r w:rsidR="002F18E2" w:rsidRPr="002F18E2">
        <w:rPr>
          <w:color w:val="000000" w:themeColor="text1"/>
          <w:u w:color="000000" w:themeColor="text1"/>
        </w:rPr>
        <w:t>’</w:t>
      </w:r>
      <w:r w:rsidRPr="00B476F2">
        <w:rPr>
          <w:color w:val="000000" w:themeColor="text1"/>
          <w:u w:color="000000" w:themeColor="text1"/>
        </w:rPr>
        <w:t xml:space="preserve">s actions and inaction. </w:t>
      </w:r>
      <w:r>
        <w:rPr>
          <w:color w:val="000000" w:themeColor="text1"/>
          <w:u w:color="000000" w:themeColor="text1"/>
        </w:rPr>
        <w:t xml:space="preserve"> </w:t>
      </w:r>
      <w:r w:rsidRPr="00B476F2">
        <w:rPr>
          <w:color w:val="000000" w:themeColor="text1"/>
          <w:u w:color="000000" w:themeColor="text1"/>
        </w:rPr>
        <w:t>Now</w:t>
      </w:r>
      <w:r w:rsidR="00B977B4">
        <w:rPr>
          <w:color w:val="000000" w:themeColor="text1"/>
          <w:u w:color="000000" w:themeColor="text1"/>
        </w:rPr>
        <w:t>,</w:t>
      </w:r>
      <w:r w:rsidRPr="00B476F2">
        <w:rPr>
          <w:color w:val="000000" w:themeColor="text1"/>
          <w:u w:color="000000" w:themeColor="text1"/>
        </w:rPr>
        <w:t xml:space="preserve"> therefore,</w:t>
      </w: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4D" w:rsidRDefault="002B1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D359EE">
        <w:t xml:space="preserve"> the members of the South Carolina House of Representatives, </w:t>
      </w:r>
      <w:r w:rsidR="00D359EE" w:rsidRPr="00B476F2">
        <w:rPr>
          <w:color w:val="000000" w:themeColor="text1"/>
          <w:u w:color="000000" w:themeColor="text1"/>
        </w:rPr>
        <w:t>by this resolution, urge</w:t>
      </w:r>
      <w:r w:rsidR="00D359EE">
        <w:rPr>
          <w:color w:val="000000" w:themeColor="text1"/>
          <w:u w:color="000000" w:themeColor="text1"/>
        </w:rPr>
        <w:t xml:space="preserve"> the Attorney General</w:t>
      </w:r>
      <w:r w:rsidR="00D359EE" w:rsidRPr="00B476F2">
        <w:rPr>
          <w:color w:val="000000" w:themeColor="text1"/>
          <w:u w:color="000000" w:themeColor="text1"/>
        </w:rPr>
        <w:t xml:space="preserve"> to file a lawsuit against Equifax for the data breach that affected over two million South Carolina residents.</w:t>
      </w:r>
    </w:p>
    <w:p w:rsidR="00397FEC" w:rsidRDefault="00397F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7FEC" w:rsidRDefault="00397F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w:t>
      </w:r>
      <w:r w:rsidR="0043469C">
        <w:rPr>
          <w:color w:val="000000" w:themeColor="text1"/>
          <w:u w:color="000000" w:themeColor="text1"/>
        </w:rPr>
        <w:t>presented to the Attorney General.</w:t>
      </w:r>
    </w:p>
    <w:p w:rsidR="002906BA" w:rsidRDefault="002F18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F18" w:rsidRDefault="00B54F18" w:rsidP="00B54F18">
      <w:pPr>
        <w:suppressAutoHyphens/>
      </w:pPr>
    </w:p>
    <w:sectPr w:rsidR="00B54F18" w:rsidSect="00B54F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94D" w:rsidRDefault="002B194D" w:rsidP="009F0C77">
      <w:r>
        <w:separator/>
      </w:r>
    </w:p>
  </w:endnote>
  <w:endnote w:type="continuationSeparator" w:id="0">
    <w:p w:rsidR="002B194D" w:rsidRDefault="002B1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D2D34A-F36E-44BE-A98B-4994029415BE}"/>
    <w:embedBold r:id="rId2" w:fontKey="{B892A6D5-EAD1-4698-8255-2AF52874B27B}"/>
  </w:font>
  <w:font w:name="Calibri">
    <w:panose1 w:val="020F0502020204030204"/>
    <w:charset w:val="00"/>
    <w:family w:val="swiss"/>
    <w:pitch w:val="variable"/>
    <w:sig w:usb0="E00002FF" w:usb1="4000ACFF" w:usb2="00000001" w:usb3="00000000" w:csb0="0000019F" w:csb1="00000000"/>
    <w:embedRegular r:id="rId3" w:fontKey="{91BE9D91-64CC-449C-B2CB-3E1CB7DCF3E6}"/>
  </w:font>
  <w:font w:name="Segoe UI">
    <w:panose1 w:val="020B0502040204020203"/>
    <w:charset w:val="00"/>
    <w:family w:val="swiss"/>
    <w:pitch w:val="variable"/>
    <w:sig w:usb0="E10022FF" w:usb1="C000E47F" w:usb2="00000029" w:usb3="00000000" w:csb0="000001DF" w:csb1="00000000"/>
    <w:embedRegular r:id="rId4" w:fontKey="{8866FD53-6D15-4B87-B6F6-E0C1E9B99835}"/>
  </w:font>
  <w:font w:name="Cambria">
    <w:panose1 w:val="02040503050406030204"/>
    <w:charset w:val="00"/>
    <w:family w:val="roman"/>
    <w:pitch w:val="variable"/>
    <w:sig w:usb0="E00002FF" w:usb1="400004FF" w:usb2="00000000" w:usb3="00000000" w:csb0="0000019F" w:csb1="00000000"/>
    <w:embedRegular r:id="rId5" w:fontKey="{5BF8B891-9407-4201-91D7-A1E544DAE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18" w:rsidRPr="00891407" w:rsidRDefault="00B54F18" w:rsidP="00891407">
    <w:pPr>
      <w:pStyle w:val="Footer"/>
      <w:tabs>
        <w:tab w:val="clear" w:pos="4680"/>
        <w:tab w:val="clear" w:pos="9360"/>
        <w:tab w:val="center" w:pos="2995"/>
      </w:tabs>
      <w:spacing w:before="120"/>
    </w:pPr>
    <w:r>
      <w:t>[4383]</w:t>
    </w:r>
    <w:r>
      <w:tab/>
    </w:r>
    <w:r>
      <w:fldChar w:fldCharType="begin"/>
    </w:r>
    <w:r>
      <w:instrText xml:space="preserve"> PAGE  \* MERGEFORMAT </w:instrText>
    </w:r>
    <w:r>
      <w:fldChar w:fldCharType="separate"/>
    </w:r>
    <w:r w:rsidR="005529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94D" w:rsidRDefault="002B194D" w:rsidP="009F0C77">
      <w:r>
        <w:separator/>
      </w:r>
    </w:p>
  </w:footnote>
  <w:footnote w:type="continuationSeparator" w:id="0">
    <w:p w:rsidR="002B194D" w:rsidRDefault="002B1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1SA18"/>
    <w:docVar w:name="CoverBillType" w:val="r"/>
    <w:docVar w:name="DocPath" w:val="L:\Council\bills\BBM\9701SA18.DOCX"/>
    <w:docVar w:name="dvBillNumber" w:val="4383"/>
    <w:docVar w:name="dvBillNumberPrefix" w:val="H. "/>
    <w:docVar w:name="dvOriginalBody" w:val="House"/>
    <w:docVar w:name="dvSteno" w:val="BBM"/>
    <w:docVar w:name="NameofBody" w:val="h"/>
    <w:docVar w:name="vGroup2" w:val="Council"/>
  </w:docVars>
  <w:rsids>
    <w:rsidRoot w:val="002B194D"/>
    <w:rsid w:val="00011869"/>
    <w:rsid w:val="00015CD6"/>
    <w:rsid w:val="000174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6BA"/>
    <w:rsid w:val="002B194D"/>
    <w:rsid w:val="002E5912"/>
    <w:rsid w:val="002F18E2"/>
    <w:rsid w:val="00301B21"/>
    <w:rsid w:val="00325348"/>
    <w:rsid w:val="0032732C"/>
    <w:rsid w:val="00336AD0"/>
    <w:rsid w:val="0037079A"/>
    <w:rsid w:val="00397FEC"/>
    <w:rsid w:val="003A5A81"/>
    <w:rsid w:val="003C4DAB"/>
    <w:rsid w:val="003D01E8"/>
    <w:rsid w:val="003E5288"/>
    <w:rsid w:val="003F6D79"/>
    <w:rsid w:val="004122C2"/>
    <w:rsid w:val="0041760A"/>
    <w:rsid w:val="00417C01"/>
    <w:rsid w:val="0043469C"/>
    <w:rsid w:val="004403BD"/>
    <w:rsid w:val="00461441"/>
    <w:rsid w:val="004809EE"/>
    <w:rsid w:val="004E7D54"/>
    <w:rsid w:val="005273C6"/>
    <w:rsid w:val="00530A69"/>
    <w:rsid w:val="00545593"/>
    <w:rsid w:val="00552913"/>
    <w:rsid w:val="00556EBF"/>
    <w:rsid w:val="00577C6C"/>
    <w:rsid w:val="00592628"/>
    <w:rsid w:val="005A62FE"/>
    <w:rsid w:val="005C2FE2"/>
    <w:rsid w:val="005E2BC9"/>
    <w:rsid w:val="00605102"/>
    <w:rsid w:val="006215AA"/>
    <w:rsid w:val="006913C9"/>
    <w:rsid w:val="0069470D"/>
    <w:rsid w:val="006D58AA"/>
    <w:rsid w:val="00734F00"/>
    <w:rsid w:val="007A70AE"/>
    <w:rsid w:val="008362E8"/>
    <w:rsid w:val="00844EA9"/>
    <w:rsid w:val="0085786E"/>
    <w:rsid w:val="00891407"/>
    <w:rsid w:val="008A1768"/>
    <w:rsid w:val="008A489F"/>
    <w:rsid w:val="008F0F33"/>
    <w:rsid w:val="008F4429"/>
    <w:rsid w:val="0094021A"/>
    <w:rsid w:val="00945B9D"/>
    <w:rsid w:val="009B44AF"/>
    <w:rsid w:val="009C6A0B"/>
    <w:rsid w:val="009F0C77"/>
    <w:rsid w:val="009F4DD1"/>
    <w:rsid w:val="00A02543"/>
    <w:rsid w:val="00A41684"/>
    <w:rsid w:val="00A64E80"/>
    <w:rsid w:val="00A72BCD"/>
    <w:rsid w:val="00A741D9"/>
    <w:rsid w:val="00A833AB"/>
    <w:rsid w:val="00A9741D"/>
    <w:rsid w:val="00AB651E"/>
    <w:rsid w:val="00AB7A36"/>
    <w:rsid w:val="00AC34A2"/>
    <w:rsid w:val="00AD1C9A"/>
    <w:rsid w:val="00AD4B17"/>
    <w:rsid w:val="00B412D4"/>
    <w:rsid w:val="00B54F18"/>
    <w:rsid w:val="00B977B4"/>
    <w:rsid w:val="00BE3C22"/>
    <w:rsid w:val="00C0345E"/>
    <w:rsid w:val="00C31C95"/>
    <w:rsid w:val="00C3483A"/>
    <w:rsid w:val="00C74E9D"/>
    <w:rsid w:val="00C826DD"/>
    <w:rsid w:val="00C82FD3"/>
    <w:rsid w:val="00C92819"/>
    <w:rsid w:val="00CC6B7B"/>
    <w:rsid w:val="00CD2089"/>
    <w:rsid w:val="00D359E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828DC-083A-46A6-B46B-18D5CEBB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8E2"/>
    <w:rPr>
      <w:rFonts w:ascii="Segoe UI" w:eastAsia="Times New Roman" w:hAnsi="Segoe UI" w:cs="Segoe UI"/>
      <w:sz w:val="18"/>
      <w:szCs w:val="18"/>
    </w:rPr>
  </w:style>
  <w:style w:type="character" w:styleId="Hyperlink">
    <w:name w:val="Hyperlink"/>
    <w:basedOn w:val="DefaultParagraphFont"/>
    <w:uiPriority w:val="99"/>
    <w:unhideWhenUsed/>
    <w:rsid w:val="00B54F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3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E2FC2-847A-4DC4-9B9E-DD245594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4383: Attorney General; Equifax data breach - South Carolina Legislature Online</dc:title>
  <dc:subject/>
  <dc:creator>BRENDA MELTON</dc:creator>
  <cp:keywords/>
  <dc:description/>
  <cp:lastModifiedBy>S Volk</cp:lastModifiedBy>
  <cp:revision>2</cp:revision>
  <cp:lastPrinted>2017-11-02T19:35:00Z</cp:lastPrinted>
  <dcterms:created xsi:type="dcterms:W3CDTF">2018-01-10T15:59:00Z</dcterms:created>
  <dcterms:modified xsi:type="dcterms:W3CDTF">2018-01-10T15:59:00Z</dcterms:modified>
</cp:coreProperties>
</file>