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08A2">
        <w:rPr>
          <w:rFonts w:cs="Times New Roman"/>
          <w:b/>
        </w:rPr>
        <w:t>South Carolina General Assembly</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08A2">
        <w:rPr>
          <w:rFonts w:cs="Times New Roman"/>
        </w:rPr>
        <w:t>122nd Session, 2017-2018</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AA5BE7"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A127, R131, S456</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b/>
        </w:rPr>
        <w:t>STATUS INFORMATION</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rPr>
        <w:t>General Bill</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rPr>
        <w:t>Sponsors: Senators Grooms and Shealy</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rPr>
        <w:t>Document Path: l:\s-res\lkg\012moto.dmr.lkg.docx</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AD0" w:rsidRDefault="00881AD0"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22, 2017</w:t>
      </w:r>
    </w:p>
    <w:p w:rsidR="00881AD0" w:rsidRDefault="00881AD0"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13, 2017</w:t>
      </w:r>
    </w:p>
    <w:p w:rsidR="00881AD0" w:rsidRDefault="00881AD0"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11, 2018</w:t>
      </w:r>
    </w:p>
    <w:p w:rsidR="00881AD0" w:rsidRDefault="00881AD0"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5, 2018, Signed</w:t>
      </w:r>
    </w:p>
    <w:p w:rsidR="00881AD0" w:rsidRDefault="00881AD0"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rPr>
        <w:t xml:space="preserve">Summary: </w:t>
      </w:r>
      <w:r w:rsidR="00733252">
        <w:rPr>
          <w:rFonts w:cs="Times New Roman"/>
        </w:rPr>
        <w:t>Motorcycle Beginner's permits</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7908A2" w:rsidP="007908A2">
      <w:pPr>
        <w:widowControl w:val="0"/>
        <w:tabs>
          <w:tab w:val="center" w:pos="590"/>
          <w:tab w:val="center" w:pos="1440"/>
          <w:tab w:val="left" w:pos="1872"/>
          <w:tab w:val="left" w:pos="9187"/>
        </w:tabs>
        <w:rPr>
          <w:rFonts w:cs="Times New Roman"/>
        </w:rPr>
      </w:pPr>
      <w:r w:rsidRPr="007908A2">
        <w:rPr>
          <w:rFonts w:cs="Times New Roman"/>
          <w:b/>
        </w:rPr>
        <w:t>HISTORY OF LEGISLATIVE ACTIONS</w:t>
      </w:r>
    </w:p>
    <w:p w:rsidR="007908A2" w:rsidRPr="007908A2" w:rsidRDefault="007908A2" w:rsidP="007908A2">
      <w:pPr>
        <w:widowControl w:val="0"/>
        <w:tabs>
          <w:tab w:val="center" w:pos="590"/>
          <w:tab w:val="center" w:pos="1440"/>
          <w:tab w:val="left" w:pos="1872"/>
          <w:tab w:val="left" w:pos="9187"/>
        </w:tabs>
        <w:rPr>
          <w:rFonts w:cs="Times New Roman"/>
        </w:rPr>
      </w:pPr>
    </w:p>
    <w:p w:rsidR="007908A2" w:rsidRPr="007908A2" w:rsidRDefault="007908A2" w:rsidP="007908A2">
      <w:pPr>
        <w:widowControl w:val="0"/>
        <w:tabs>
          <w:tab w:val="center" w:pos="590"/>
          <w:tab w:val="center" w:pos="1440"/>
          <w:tab w:val="left" w:pos="1872"/>
          <w:tab w:val="left" w:pos="9187"/>
        </w:tabs>
        <w:rPr>
          <w:rFonts w:cs="Times New Roman"/>
        </w:rPr>
      </w:pPr>
      <w:r w:rsidRPr="007908A2">
        <w:rPr>
          <w:rFonts w:cs="Times New Roman"/>
          <w:u w:val="single"/>
        </w:rPr>
        <w:tab/>
        <w:t>Date</w:t>
      </w:r>
      <w:r w:rsidRPr="007908A2">
        <w:rPr>
          <w:rFonts w:cs="Times New Roman"/>
          <w:u w:val="single"/>
        </w:rPr>
        <w:tab/>
        <w:t>Body</w:t>
      </w:r>
      <w:r w:rsidRPr="007908A2">
        <w:rPr>
          <w:rFonts w:cs="Times New Roman"/>
          <w:u w:val="single"/>
        </w:rPr>
        <w:tab/>
        <w:t>Action Description with journal page number</w:t>
      </w:r>
      <w:r w:rsidRPr="007908A2">
        <w:rPr>
          <w:rFonts w:cs="Times New Roman"/>
          <w:u w:val="single"/>
        </w:rPr>
        <w:tab/>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CE263F">
        <w:rPr>
          <w:rFonts w:cs="Times New Roman"/>
        </w:rPr>
        <w:t>Introduced and read first time (</w:t>
      </w:r>
      <w:hyperlink r:id="rId6" w:history="1">
        <w:r w:rsidRPr="00CE263F">
          <w:rPr>
            <w:rStyle w:val="Hyperlink"/>
            <w:rFonts w:cs="Times New Roman"/>
          </w:rPr>
          <w:t>Senate Journal</w:t>
        </w:r>
        <w:r w:rsidRPr="00CE263F">
          <w:rPr>
            <w:rStyle w:val="Hyperlink"/>
            <w:rFonts w:cs="Times New Roman"/>
          </w:rPr>
          <w:noBreakHyphen/>
          <w:t>page 3</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CE263F">
        <w:rPr>
          <w:rFonts w:cs="Times New Roman"/>
        </w:rPr>
        <w:t>Referred</w:t>
      </w:r>
      <w:r>
        <w:rPr>
          <w:rFonts w:cs="Times New Roman"/>
        </w:rPr>
        <w:t xml:space="preserve"> to Committee on </w:t>
      </w:r>
      <w:r w:rsidRPr="00CE263F">
        <w:rPr>
          <w:rFonts w:cs="Times New Roman"/>
          <w:b/>
        </w:rPr>
        <w:t>Transportation</w:t>
      </w:r>
      <w:r>
        <w:rPr>
          <w:rFonts w:cs="Times New Roman"/>
        </w:rPr>
        <w:t xml:space="preserve"> </w:t>
      </w:r>
      <w:r w:rsidRPr="00CE263F">
        <w:rPr>
          <w:rFonts w:cs="Times New Roman"/>
        </w:rPr>
        <w:t>(</w:t>
      </w:r>
      <w:hyperlink r:id="rId7" w:history="1">
        <w:r w:rsidRPr="00CE263F">
          <w:rPr>
            <w:rStyle w:val="Hyperlink"/>
            <w:rFonts w:cs="Times New Roman"/>
          </w:rPr>
          <w:t>Senate Journal</w:t>
        </w:r>
        <w:r w:rsidRPr="00CE263F">
          <w:rPr>
            <w:rStyle w:val="Hyperlink"/>
            <w:rFonts w:cs="Times New Roman"/>
          </w:rPr>
          <w:noBreakHyphen/>
          <w:t>page 3</w:t>
        </w:r>
      </w:hyperlink>
      <w:bookmarkStart w:id="0" w:name="_GoBack"/>
      <w:bookmarkEnd w:id="0"/>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CE263F">
        <w:rPr>
          <w:rFonts w:cs="Times New Roman"/>
        </w:rPr>
        <w:t>Committee r</w:t>
      </w:r>
      <w:r>
        <w:rPr>
          <w:rFonts w:cs="Times New Roman"/>
        </w:rPr>
        <w:t xml:space="preserve">eport: Favorable </w:t>
      </w:r>
      <w:r w:rsidRPr="00CE263F">
        <w:rPr>
          <w:rFonts w:cs="Times New Roman"/>
          <w:b/>
        </w:rPr>
        <w:t>Transportation</w:t>
      </w:r>
      <w:r>
        <w:rPr>
          <w:rFonts w:cs="Times New Roman"/>
        </w:rPr>
        <w:t xml:space="preserve"> </w:t>
      </w:r>
      <w:r w:rsidRPr="00CE263F">
        <w:rPr>
          <w:rFonts w:cs="Times New Roman"/>
        </w:rPr>
        <w:t>(</w:t>
      </w:r>
      <w:hyperlink r:id="rId8" w:history="1">
        <w:r w:rsidRPr="00CE263F">
          <w:rPr>
            <w:rStyle w:val="Hyperlink"/>
            <w:rFonts w:cs="Times New Roman"/>
          </w:rPr>
          <w:t>Senate Journal</w:t>
        </w:r>
        <w:r w:rsidRPr="00CE263F">
          <w:rPr>
            <w:rStyle w:val="Hyperlink"/>
            <w:rFonts w:cs="Times New Roman"/>
          </w:rPr>
          <w:noBreakHyphen/>
          <w:t>page 13</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CE263F">
        <w:rPr>
          <w:rFonts w:cs="Times New Roman"/>
        </w:rPr>
        <w:t>Read second time (</w:t>
      </w:r>
      <w:hyperlink r:id="rId9" w:history="1">
        <w:r w:rsidRPr="00CE263F">
          <w:rPr>
            <w:rStyle w:val="Hyperlink"/>
            <w:rFonts w:cs="Times New Roman"/>
          </w:rPr>
          <w:t>Senate Journal</w:t>
        </w:r>
        <w:r w:rsidRPr="00CE263F">
          <w:rPr>
            <w:rStyle w:val="Hyperlink"/>
            <w:rFonts w:cs="Times New Roman"/>
          </w:rPr>
          <w:noBreakHyphen/>
          <w:t>page 36</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CE263F">
        <w:rPr>
          <w:rFonts w:cs="Times New Roman"/>
        </w:rPr>
        <w:t>Roll call Ayes</w:t>
      </w:r>
      <w:r>
        <w:rPr>
          <w:rFonts w:cs="Times New Roman"/>
        </w:rPr>
        <w:noBreakHyphen/>
      </w:r>
      <w:r w:rsidRPr="00CE263F">
        <w:rPr>
          <w:rFonts w:cs="Times New Roman"/>
        </w:rPr>
        <w:t>39  Nays</w:t>
      </w:r>
      <w:r>
        <w:rPr>
          <w:rFonts w:cs="Times New Roman"/>
        </w:rPr>
        <w:noBreakHyphen/>
      </w:r>
      <w:r w:rsidRPr="00CE263F">
        <w:rPr>
          <w:rFonts w:cs="Times New Roman"/>
        </w:rPr>
        <w:t>0 (</w:t>
      </w:r>
      <w:hyperlink r:id="rId10" w:history="1">
        <w:r w:rsidRPr="00CE263F">
          <w:rPr>
            <w:rStyle w:val="Hyperlink"/>
            <w:rFonts w:cs="Times New Roman"/>
          </w:rPr>
          <w:t>Senate Journal</w:t>
        </w:r>
        <w:r w:rsidRPr="00CE263F">
          <w:rPr>
            <w:rStyle w:val="Hyperlink"/>
            <w:rFonts w:cs="Times New Roman"/>
          </w:rPr>
          <w:noBreakHyphen/>
          <w:t>page 36</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E263F">
        <w:rPr>
          <w:rFonts w:cs="Times New Roman"/>
        </w:rPr>
        <w:t>Re</w:t>
      </w:r>
      <w:r>
        <w:rPr>
          <w:rFonts w:cs="Times New Roman"/>
        </w:rPr>
        <w:t xml:space="preserve">ad third time and sent to House </w:t>
      </w:r>
      <w:r w:rsidRPr="00CE263F">
        <w:rPr>
          <w:rFonts w:cs="Times New Roman"/>
        </w:rPr>
        <w:t>(</w:t>
      </w:r>
      <w:hyperlink r:id="rId11" w:history="1">
        <w:r w:rsidRPr="00CE263F">
          <w:rPr>
            <w:rStyle w:val="Hyperlink"/>
            <w:rFonts w:cs="Times New Roman"/>
          </w:rPr>
          <w:t>Senate Journal</w:t>
        </w:r>
        <w:r w:rsidRPr="00CE263F">
          <w:rPr>
            <w:rStyle w:val="Hyperlink"/>
            <w:rFonts w:cs="Times New Roman"/>
          </w:rPr>
          <w:noBreakHyphen/>
          <w:t>page 21</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CE263F">
        <w:rPr>
          <w:rFonts w:cs="Times New Roman"/>
        </w:rPr>
        <w:t>Introduced and read first time (</w:t>
      </w:r>
      <w:hyperlink r:id="rId12" w:history="1">
        <w:r w:rsidRPr="00CE263F">
          <w:rPr>
            <w:rStyle w:val="Hyperlink"/>
            <w:rFonts w:cs="Times New Roman"/>
          </w:rPr>
          <w:t>House Journal</w:t>
        </w:r>
        <w:r w:rsidRPr="00CE263F">
          <w:rPr>
            <w:rStyle w:val="Hyperlink"/>
            <w:rFonts w:cs="Times New Roman"/>
          </w:rPr>
          <w:noBreakHyphen/>
          <w:t>page 18</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CE263F">
        <w:rPr>
          <w:rFonts w:cs="Times New Roman"/>
        </w:rPr>
        <w:t>Referred to Co</w:t>
      </w:r>
      <w:r>
        <w:rPr>
          <w:rFonts w:cs="Times New Roman"/>
        </w:rPr>
        <w:t xml:space="preserve">mmittee on </w:t>
      </w:r>
      <w:r w:rsidRPr="00CE263F">
        <w:rPr>
          <w:rFonts w:cs="Times New Roman"/>
          <w:b/>
        </w:rPr>
        <w:t>Education and Public Works</w:t>
      </w:r>
      <w:r w:rsidRPr="00CE263F">
        <w:rPr>
          <w:rFonts w:cs="Times New Roman"/>
        </w:rPr>
        <w:t xml:space="preserve"> (</w:t>
      </w:r>
      <w:hyperlink r:id="rId13" w:history="1">
        <w:r w:rsidRPr="00CE263F">
          <w:rPr>
            <w:rStyle w:val="Hyperlink"/>
            <w:rFonts w:cs="Times New Roman"/>
          </w:rPr>
          <w:t>House Journal</w:t>
        </w:r>
        <w:r w:rsidRPr="00CE263F">
          <w:rPr>
            <w:rStyle w:val="Hyperlink"/>
            <w:rFonts w:cs="Times New Roman"/>
          </w:rPr>
          <w:noBreakHyphen/>
          <w:t>page 18</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E263F">
        <w:rPr>
          <w:rFonts w:cs="Times New Roman"/>
        </w:rPr>
        <w:t>Recalled from Co</w:t>
      </w:r>
      <w:r>
        <w:rPr>
          <w:rFonts w:cs="Times New Roman"/>
        </w:rPr>
        <w:t xml:space="preserve">mmittee on </w:t>
      </w:r>
      <w:r w:rsidRPr="00CE263F">
        <w:rPr>
          <w:rFonts w:cs="Times New Roman"/>
          <w:b/>
        </w:rPr>
        <w:t>Education and Public Works</w:t>
      </w:r>
      <w:r w:rsidRPr="00CE263F">
        <w:rPr>
          <w:rFonts w:cs="Times New Roman"/>
        </w:rPr>
        <w:t xml:space="preserve"> (</w:t>
      </w:r>
      <w:hyperlink r:id="rId14" w:history="1">
        <w:r w:rsidRPr="00CE263F">
          <w:rPr>
            <w:rStyle w:val="Hyperlink"/>
            <w:rFonts w:cs="Times New Roman"/>
          </w:rPr>
          <w:t>House Journal</w:t>
        </w:r>
        <w:r w:rsidRPr="00CE263F">
          <w:rPr>
            <w:rStyle w:val="Hyperlink"/>
            <w:rFonts w:cs="Times New Roman"/>
          </w:rPr>
          <w:noBreakHyphen/>
          <w:t>page 75</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CE263F">
        <w:rPr>
          <w:rFonts w:cs="Times New Roman"/>
        </w:rPr>
        <w:t>Debate adjourned until Tues., 1</w:t>
      </w:r>
      <w:r>
        <w:rPr>
          <w:rFonts w:cs="Times New Roman"/>
        </w:rPr>
        <w:noBreakHyphen/>
      </w:r>
      <w:r w:rsidRPr="00CE263F">
        <w:rPr>
          <w:rFonts w:cs="Times New Roman"/>
        </w:rPr>
        <w:t>9</w:t>
      </w:r>
      <w:r>
        <w:rPr>
          <w:rFonts w:cs="Times New Roman"/>
        </w:rPr>
        <w:noBreakHyphen/>
      </w:r>
      <w:r w:rsidRPr="00CE263F">
        <w:rPr>
          <w:rFonts w:cs="Times New Roman"/>
        </w:rPr>
        <w:t>18</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CE263F">
        <w:rPr>
          <w:rFonts w:cs="Times New Roman"/>
        </w:rPr>
        <w:t>Read second time (</w:t>
      </w:r>
      <w:hyperlink r:id="rId15" w:history="1">
        <w:r w:rsidRPr="00CE263F">
          <w:rPr>
            <w:rStyle w:val="Hyperlink"/>
            <w:rFonts w:cs="Times New Roman"/>
          </w:rPr>
          <w:t>House Journal</w:t>
        </w:r>
        <w:r w:rsidRPr="00CE263F">
          <w:rPr>
            <w:rStyle w:val="Hyperlink"/>
            <w:rFonts w:cs="Times New Roman"/>
          </w:rPr>
          <w:noBreakHyphen/>
          <w:t>page 9</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CE263F">
        <w:rPr>
          <w:rFonts w:cs="Times New Roman"/>
        </w:rPr>
        <w:t>Roll call Yeas</w:t>
      </w:r>
      <w:r>
        <w:rPr>
          <w:rFonts w:cs="Times New Roman"/>
        </w:rPr>
        <w:noBreakHyphen/>
      </w:r>
      <w:r w:rsidRPr="00CE263F">
        <w:rPr>
          <w:rFonts w:cs="Times New Roman"/>
        </w:rPr>
        <w:t>106  Nays</w:t>
      </w:r>
      <w:r>
        <w:rPr>
          <w:rFonts w:cs="Times New Roman"/>
        </w:rPr>
        <w:noBreakHyphen/>
      </w:r>
      <w:r w:rsidRPr="00CE263F">
        <w:rPr>
          <w:rFonts w:cs="Times New Roman"/>
        </w:rPr>
        <w:t>0 (</w:t>
      </w:r>
      <w:hyperlink r:id="rId16" w:history="1">
        <w:r w:rsidRPr="00CE263F">
          <w:rPr>
            <w:rStyle w:val="Hyperlink"/>
            <w:rFonts w:cs="Times New Roman"/>
          </w:rPr>
          <w:t>House Journal</w:t>
        </w:r>
        <w:r w:rsidRPr="00CE263F">
          <w:rPr>
            <w:rStyle w:val="Hyperlink"/>
            <w:rFonts w:cs="Times New Roman"/>
          </w:rPr>
          <w:noBreakHyphen/>
          <w:t>page 10</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House</w:t>
      </w:r>
      <w:r>
        <w:rPr>
          <w:rFonts w:cs="Times New Roman"/>
        </w:rPr>
        <w:tab/>
      </w:r>
      <w:r w:rsidRPr="00CE263F">
        <w:rPr>
          <w:rFonts w:cs="Times New Roman"/>
        </w:rPr>
        <w:t>Read third time and enrolled (</w:t>
      </w:r>
      <w:hyperlink r:id="rId17" w:history="1">
        <w:r w:rsidRPr="00CE263F">
          <w:rPr>
            <w:rStyle w:val="Hyperlink"/>
            <w:rFonts w:cs="Times New Roman"/>
          </w:rPr>
          <w:t>House Journal</w:t>
        </w:r>
        <w:r w:rsidRPr="00CE263F">
          <w:rPr>
            <w:rStyle w:val="Hyperlink"/>
            <w:rFonts w:cs="Times New Roman"/>
          </w:rPr>
          <w:noBreakHyphen/>
          <w:t>page 600</w:t>
        </w:r>
      </w:hyperlink>
      <w:r w:rsidRPr="00CE263F">
        <w:rPr>
          <w:rFonts w:cs="Times New Roman"/>
        </w:rPr>
        <w:t>)</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r>
      <w:r>
        <w:rPr>
          <w:rFonts w:cs="Times New Roman"/>
        </w:rPr>
        <w:tab/>
      </w:r>
      <w:r w:rsidRPr="00CE263F">
        <w:rPr>
          <w:rFonts w:cs="Times New Roman"/>
        </w:rPr>
        <w:t>Ratified R 131</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2/5/2018</w:t>
      </w:r>
      <w:r>
        <w:rPr>
          <w:rFonts w:cs="Times New Roman"/>
        </w:rPr>
        <w:tab/>
      </w:r>
      <w:r>
        <w:rPr>
          <w:rFonts w:cs="Times New Roman"/>
        </w:rPr>
        <w:tab/>
      </w:r>
      <w:r w:rsidRPr="00CE263F">
        <w:rPr>
          <w:rFonts w:cs="Times New Roman"/>
        </w:rPr>
        <w:t>Signed By Governor</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CE263F">
        <w:rPr>
          <w:rFonts w:cs="Times New Roman"/>
        </w:rPr>
        <w:t>Effective date 2/5/18</w:t>
      </w:r>
    </w:p>
    <w:p w:rsidR="00AA5BE7" w:rsidRDefault="00AA5BE7" w:rsidP="00AA5BE7">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CE263F">
        <w:rPr>
          <w:rFonts w:cs="Times New Roman"/>
        </w:rPr>
        <w:t>Act No</w:t>
      </w:r>
      <w:r>
        <w:rPr>
          <w:rFonts w:cs="Times New Roman"/>
        </w:rPr>
        <w:t>. </w:t>
      </w:r>
      <w:r w:rsidRPr="00CE263F">
        <w:rPr>
          <w:rFonts w:cs="Times New Roman"/>
        </w:rPr>
        <w:t>127</w:t>
      </w:r>
    </w:p>
    <w:p w:rsidR="00AA5BE7" w:rsidRDefault="00AA5BE7" w:rsidP="00AA5BE7">
      <w:pPr>
        <w:widowControl w:val="0"/>
        <w:tabs>
          <w:tab w:val="right" w:pos="1008"/>
          <w:tab w:val="left" w:pos="1152"/>
          <w:tab w:val="left" w:pos="1872"/>
          <w:tab w:val="left" w:pos="9187"/>
        </w:tabs>
        <w:ind w:left="2088" w:hanging="2088"/>
        <w:rPr>
          <w:rFonts w:cs="Times New Roman"/>
        </w:rPr>
      </w:pPr>
    </w:p>
    <w:p w:rsidR="007908A2" w:rsidRPr="007908A2" w:rsidRDefault="007908A2" w:rsidP="007908A2">
      <w:pPr>
        <w:widowControl w:val="0"/>
        <w:tabs>
          <w:tab w:val="right" w:pos="1008"/>
          <w:tab w:val="left" w:pos="1152"/>
          <w:tab w:val="left" w:pos="1872"/>
          <w:tab w:val="left" w:pos="9187"/>
        </w:tabs>
        <w:ind w:left="2088" w:hanging="2088"/>
        <w:rPr>
          <w:rFonts w:cs="Times New Roman"/>
        </w:rPr>
      </w:pPr>
      <w:r w:rsidRPr="007908A2">
        <w:rPr>
          <w:rFonts w:cs="Times New Roman"/>
        </w:rPr>
        <w:t xml:space="preserve">View the latest </w:t>
      </w:r>
      <w:hyperlink r:id="rId18" w:history="1">
        <w:r w:rsidRPr="007908A2">
          <w:rPr>
            <w:rFonts w:cs="Times New Roman"/>
            <w:color w:val="0000FF" w:themeColor="hyperlink"/>
            <w:u w:val="single"/>
          </w:rPr>
          <w:t>legislative information</w:t>
        </w:r>
      </w:hyperlink>
      <w:r w:rsidRPr="007908A2">
        <w:rPr>
          <w:rFonts w:cs="Times New Roman"/>
        </w:rPr>
        <w:t xml:space="preserve"> at the website</w:t>
      </w:r>
    </w:p>
    <w:p w:rsidR="007908A2" w:rsidRPr="007908A2" w:rsidRDefault="007908A2" w:rsidP="007908A2">
      <w:pPr>
        <w:widowControl w:val="0"/>
        <w:tabs>
          <w:tab w:val="right" w:pos="1008"/>
          <w:tab w:val="left" w:pos="1152"/>
          <w:tab w:val="left" w:pos="1872"/>
          <w:tab w:val="left" w:pos="9187"/>
        </w:tabs>
        <w:ind w:left="2088" w:hanging="2088"/>
        <w:rPr>
          <w:rFonts w:cs="Times New Roman"/>
        </w:rPr>
      </w:pPr>
    </w:p>
    <w:p w:rsidR="007908A2" w:rsidRPr="007908A2" w:rsidRDefault="007908A2" w:rsidP="007908A2">
      <w:pPr>
        <w:widowControl w:val="0"/>
        <w:tabs>
          <w:tab w:val="right" w:pos="1008"/>
          <w:tab w:val="left" w:pos="1152"/>
          <w:tab w:val="left" w:pos="1872"/>
          <w:tab w:val="left" w:pos="9187"/>
        </w:tabs>
        <w:ind w:left="2088" w:hanging="2088"/>
        <w:rPr>
          <w:rFonts w:cs="Times New Roman"/>
        </w:rPr>
      </w:pP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8A2">
        <w:rPr>
          <w:rFonts w:cs="Times New Roman"/>
          <w:b/>
        </w:rPr>
        <w:t>VERSIONS OF THIS BILL</w:t>
      </w:r>
    </w:p>
    <w:p w:rsidR="007908A2" w:rsidRPr="007908A2" w:rsidRDefault="007908A2"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Pr="007908A2" w:rsidRDefault="00B32EE5" w:rsidP="0079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908A2" w:rsidRPr="007908A2">
          <w:rPr>
            <w:rFonts w:cs="Times New Roman"/>
            <w:color w:val="0000FF" w:themeColor="hyperlink"/>
            <w:u w:val="single"/>
          </w:rPr>
          <w:t>2/22/2017</w:t>
        </w:r>
      </w:hyperlink>
    </w:p>
    <w:p w:rsidR="007908A2" w:rsidRPr="007908A2" w:rsidRDefault="00B32EE5" w:rsidP="0079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908A2" w:rsidRPr="007908A2">
          <w:rPr>
            <w:rFonts w:cs="Times New Roman"/>
            <w:color w:val="0000FF" w:themeColor="hyperlink"/>
            <w:u w:val="single"/>
          </w:rPr>
          <w:t>3/2/2017</w:t>
        </w:r>
      </w:hyperlink>
    </w:p>
    <w:p w:rsidR="007908A2" w:rsidRPr="007908A2" w:rsidRDefault="00B32EE5" w:rsidP="0079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908A2" w:rsidRPr="007908A2">
          <w:rPr>
            <w:rFonts w:cs="Times New Roman"/>
            <w:color w:val="0000FF" w:themeColor="hyperlink"/>
            <w:u w:val="single"/>
          </w:rPr>
          <w:t>5/10/2017</w:t>
        </w:r>
      </w:hyperlink>
    </w:p>
    <w:p w:rsidR="007908A2" w:rsidRPr="007908A2" w:rsidRDefault="007908A2" w:rsidP="0079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8A2" w:rsidRDefault="007908A2" w:rsidP="0079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08A2" w:rsidSect="007908A2">
          <w:pgSz w:w="12240" w:h="15840" w:code="1"/>
          <w:pgMar w:top="1080" w:right="1440" w:bottom="1080" w:left="1440" w:header="720" w:footer="720" w:gutter="0"/>
          <w:pgNumType w:start="1"/>
          <w:cols w:space="720"/>
          <w:noEndnote/>
          <w:docGrid w:linePitch="360"/>
        </w:sectPr>
      </w:pP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R131, S456)</w:t>
      </w:r>
    </w:p>
    <w:p w:rsidR="00CA7197" w:rsidRPr="008836A5"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7197" w:rsidRPr="007908A2"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08A2">
        <w:rPr>
          <w:rFonts w:cs="Times New Roman"/>
          <w:b/>
          <w:color w:val="000000" w:themeColor="text1"/>
          <w:szCs w:val="36"/>
        </w:rPr>
        <w:t xml:space="preserve">AN ACT </w:t>
      </w:r>
      <w:r w:rsidRPr="007908A2">
        <w:rPr>
          <w:rFonts w:eastAsia="Times New Roman" w:cs="Times New Roman"/>
          <w:b/>
        </w:rPr>
        <w:t>TO AMEND SECTION 56</w:t>
      </w:r>
      <w:r w:rsidRPr="007908A2">
        <w:rPr>
          <w:rFonts w:eastAsia="Times New Roman" w:cs="Times New Roman"/>
          <w:b/>
        </w:rPr>
        <w:noBreakHyphen/>
        <w:t>1</w:t>
      </w:r>
      <w:r w:rsidRPr="007908A2">
        <w:rPr>
          <w:rFonts w:eastAsia="Times New Roman" w:cs="Times New Roman"/>
          <w:b/>
        </w:rPr>
        <w:noBreakHyphen/>
        <w:t xml:space="preserve">50, AS AMENDED, CODE OF LAWS OF SOUTH CAROLINA, 1976, RELATING TO BEGINNER’S PERMITS, SO AS TO PROVIDE THAT </w:t>
      </w:r>
      <w:r w:rsidRPr="007908A2">
        <w:rPr>
          <w:rFonts w:cs="Times New Roman"/>
          <w:b/>
          <w:color w:val="000000" w:themeColor="text1"/>
        </w:rPr>
        <w:t>A PERSON WHO HOLDS A MOTORCYCLE BEGINNER’S PERMIT WHO HAS FAILED THE MOTORCYCLE DRIVER’S LICENSE TEST THREE OR MORE TIMES MUST COMPLETE SUCCESSFULLY A SOUTH CAROLINA TECHNICAL COLLEGE MOTORCYCLE SAFETY COURSE, OR ITS EQUIVALENT, IN LIEU OF PASSING THE MOTORCYCLE DRIVER’S LICENSE TEST, IN ORDER TO OBTAIN A MOTORCYCLE LICENSE; AND TO AMEND SECTION 56</w:t>
      </w:r>
      <w:r w:rsidRPr="007908A2">
        <w:rPr>
          <w:rFonts w:cs="Times New Roman"/>
          <w:b/>
          <w:color w:val="000000" w:themeColor="text1"/>
        </w:rPr>
        <w:noBreakHyphen/>
        <w:t>1</w:t>
      </w:r>
      <w:r w:rsidRPr="007908A2">
        <w:rPr>
          <w:rFonts w:cs="Times New Roman"/>
          <w:b/>
          <w:color w:val="000000" w:themeColor="text1"/>
        </w:rPr>
        <w:noBreakHyphen/>
        <w:t>770, RELATING TO POINTS REDUCED FOR COMPLETING A DEFENSIVE DRIVING COURSE, SO AS TO PROVIDE THAT ANY DRIVER WITH A CLASS M (MOTORCYCLE) ENDORSEMENT WHO HAS ACCUMULATED POINTS UNDER THE PROVISIONS OF THIS ARTICLE SHALL HAVE THE NUMBER OF HIS POINTS REDUCED BY FOUR UPON PROVING TO THE SATISFACTION OF THE DEPARTMENT OF MOTOR VEHICLES THAT HE HAS COMPLETED SUCCESSFULLY A SOUTH CAROLINA TECHNICAL COLLEGE MOTORCYCLE SAFETY COURSE OR ITS EQUIVALENT, TO PROVIDE FOR THE SPECIFICATIONS OF THE COURSE, AND TO PROVIDE THAT NO PERSON’S POINTS MAY BE REDUCED MORE THAN ONE TIME IN ANY THREE</w:t>
      </w:r>
      <w:r w:rsidRPr="007908A2">
        <w:rPr>
          <w:rFonts w:cs="Times New Roman"/>
          <w:b/>
          <w:color w:val="000000" w:themeColor="text1"/>
        </w:rPr>
        <w:noBreakHyphen/>
        <w:t>YEAR PERIOD.</w:t>
      </w: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31220">
        <w:rPr>
          <w:rFonts w:eastAsia="Times New Roman" w:cs="Times New Roman"/>
        </w:rPr>
        <w:t>Be it enacted by the General Assembly of the State of South Carolina:</w:t>
      </w: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Beginners’ permits</w:t>
      </w:r>
    </w:p>
    <w:p w:rsidR="00CA7197" w:rsidRPr="004C214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31220">
        <w:rPr>
          <w:rFonts w:eastAsia="Times New Roman" w:cs="Times New Roman"/>
        </w:rPr>
        <w:t>SECTION</w:t>
      </w:r>
      <w:r w:rsidRPr="00731220">
        <w:rPr>
          <w:rFonts w:eastAsia="Times New Roman" w:cs="Times New Roman"/>
        </w:rPr>
        <w:tab/>
        <w:t>1.</w:t>
      </w:r>
      <w:r w:rsidRPr="00731220">
        <w:rPr>
          <w:rFonts w:eastAsia="Times New Roman" w:cs="Times New Roman"/>
        </w:rPr>
        <w:tab/>
        <w:t>Section 56</w:t>
      </w:r>
      <w:r>
        <w:rPr>
          <w:rFonts w:eastAsia="Times New Roman" w:cs="Times New Roman"/>
        </w:rPr>
        <w:noBreakHyphen/>
      </w:r>
      <w:r w:rsidRPr="00731220">
        <w:rPr>
          <w:rFonts w:eastAsia="Times New Roman" w:cs="Times New Roman"/>
        </w:rPr>
        <w:t>1</w:t>
      </w:r>
      <w:r>
        <w:rPr>
          <w:rFonts w:eastAsia="Times New Roman" w:cs="Times New Roman"/>
        </w:rPr>
        <w:noBreakHyphen/>
      </w:r>
      <w:r w:rsidRPr="00731220">
        <w:rPr>
          <w:rFonts w:eastAsia="Times New Roman" w:cs="Times New Roman"/>
        </w:rPr>
        <w:t>50 of the 1976 Code</w:t>
      </w:r>
      <w:r>
        <w:rPr>
          <w:rFonts w:eastAsia="Times New Roman" w:cs="Times New Roman"/>
        </w:rPr>
        <w:t>, as last amended by Act 89 of 2017,</w:t>
      </w:r>
      <w:r w:rsidRPr="00731220">
        <w:rPr>
          <w:rFonts w:eastAsia="Times New Roman" w:cs="Times New Roman"/>
        </w:rPr>
        <w:t xml:space="preserve"> is </w:t>
      </w:r>
      <w:r>
        <w:rPr>
          <w:rFonts w:eastAsia="Times New Roman" w:cs="Times New Roman"/>
        </w:rPr>
        <w:t xml:space="preserve">further </w:t>
      </w:r>
      <w:r w:rsidRPr="00731220">
        <w:rPr>
          <w:rFonts w:eastAsia="Times New Roman" w:cs="Times New Roman"/>
        </w:rPr>
        <w:t xml:space="preserve">amended by adding an appropriately lettered new </w:t>
      </w:r>
      <w:r>
        <w:rPr>
          <w:rFonts w:eastAsia="Times New Roman" w:cs="Times New Roman"/>
        </w:rPr>
        <w:t>sub</w:t>
      </w:r>
      <w:r w:rsidRPr="00731220">
        <w:rPr>
          <w:rFonts w:eastAsia="Times New Roman" w:cs="Times New Roman"/>
        </w:rPr>
        <w:t>section to read:</w:t>
      </w: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31220">
        <w:rPr>
          <w:rFonts w:eastAsia="Times New Roman" w:cs="Times New Roman"/>
        </w:rPr>
        <w:tab/>
        <w:t>“(</w:t>
      </w:r>
      <w:r w:rsidRPr="00731220">
        <w:rPr>
          <w:rFonts w:eastAsia="Times New Roman" w:cs="Times New Roman"/>
        </w:rPr>
        <w:tab/>
        <w:t>)</w:t>
      </w:r>
      <w:r w:rsidRPr="00731220">
        <w:rPr>
          <w:rFonts w:eastAsia="Times New Roman" w:cs="Times New Roman"/>
        </w:rPr>
        <w:tab/>
      </w:r>
      <w:r w:rsidRPr="00731220">
        <w:rPr>
          <w:rFonts w:cs="Times New Roman"/>
          <w:color w:val="000000" w:themeColor="text1"/>
        </w:rPr>
        <w:t>A person who holds a motorcycle beginner</w:t>
      </w:r>
      <w:r w:rsidRPr="00CC1676">
        <w:rPr>
          <w:rFonts w:cs="Times New Roman"/>
          <w:color w:val="000000" w:themeColor="text1"/>
        </w:rPr>
        <w:t>’</w:t>
      </w:r>
      <w:r w:rsidRPr="00731220">
        <w:rPr>
          <w:rFonts w:cs="Times New Roman"/>
          <w:color w:val="000000" w:themeColor="text1"/>
        </w:rPr>
        <w:t>s permit who has failed the motorcycle driver</w:t>
      </w:r>
      <w:r w:rsidRPr="00CC1676">
        <w:rPr>
          <w:rFonts w:cs="Times New Roman"/>
          <w:color w:val="000000" w:themeColor="text1"/>
        </w:rPr>
        <w:t>’</w:t>
      </w:r>
      <w:r w:rsidRPr="00731220">
        <w:rPr>
          <w:rFonts w:cs="Times New Roman"/>
          <w:color w:val="000000" w:themeColor="text1"/>
        </w:rPr>
        <w:t xml:space="preserve">s license test three or more times must successfully complete a South Carolina </w:t>
      </w:r>
      <w:r>
        <w:rPr>
          <w:rFonts w:cs="Times New Roman"/>
          <w:color w:val="000000" w:themeColor="text1"/>
        </w:rPr>
        <w:t>t</w:t>
      </w:r>
      <w:r w:rsidRPr="00731220">
        <w:rPr>
          <w:rFonts w:cs="Times New Roman"/>
          <w:color w:val="000000" w:themeColor="text1"/>
        </w:rPr>
        <w:t xml:space="preserve">echnical </w:t>
      </w:r>
      <w:r>
        <w:rPr>
          <w:rFonts w:cs="Times New Roman"/>
          <w:color w:val="000000" w:themeColor="text1"/>
        </w:rPr>
        <w:t>c</w:t>
      </w:r>
      <w:r w:rsidRPr="00731220">
        <w:rPr>
          <w:rFonts w:cs="Times New Roman"/>
          <w:color w:val="000000" w:themeColor="text1"/>
        </w:rPr>
        <w:t>ollege motorcycle safety course, or its equivalent, in lieu of passing the motorcycle driver</w:t>
      </w:r>
      <w:r w:rsidRPr="00CC1676">
        <w:rPr>
          <w:rFonts w:cs="Times New Roman"/>
          <w:color w:val="000000" w:themeColor="text1"/>
        </w:rPr>
        <w:t>’</w:t>
      </w:r>
      <w:r w:rsidRPr="00731220">
        <w:rPr>
          <w:rFonts w:cs="Times New Roman"/>
          <w:color w:val="000000" w:themeColor="text1"/>
        </w:rPr>
        <w:t xml:space="preserve">s license test, in order to obtain a motorcycle license. All courses must be at least eight hours in length and be taught by an instructor accredited through a training program in which the procedures for accreditation are </w:t>
      </w:r>
      <w:r w:rsidRPr="00731220">
        <w:rPr>
          <w:rFonts w:cs="Times New Roman"/>
          <w:color w:val="000000" w:themeColor="text1"/>
        </w:rPr>
        <w:lastRenderedPageBreak/>
        <w:t xml:space="preserve">equivalent to those set forth in </w:t>
      </w:r>
      <w:r w:rsidRPr="00CC1676">
        <w:rPr>
          <w:rFonts w:cs="Times New Roman"/>
          <w:color w:val="000000" w:themeColor="text1"/>
        </w:rPr>
        <w:t>‘</w:t>
      </w:r>
      <w:r w:rsidRPr="00731220">
        <w:rPr>
          <w:rFonts w:cs="Times New Roman"/>
          <w:color w:val="000000" w:themeColor="text1"/>
        </w:rPr>
        <w:t>Manual of Rules and Procedures</w:t>
      </w:r>
      <w:r w:rsidRPr="00CC1676">
        <w:rPr>
          <w:rFonts w:cs="Times New Roman"/>
          <w:color w:val="000000" w:themeColor="text1"/>
        </w:rPr>
        <w:t>’</w:t>
      </w:r>
      <w:r w:rsidRPr="00731220">
        <w:rPr>
          <w:rFonts w:cs="Times New Roman"/>
          <w:color w:val="000000" w:themeColor="text1"/>
        </w:rPr>
        <w:t xml:space="preserve"> published by the National Safety Council. All courses must include successful completion of an examination equivalent to the Department of Motor Vehicles motorcycle skills test. These programs are subject to Section 56</w:t>
      </w:r>
      <w:r>
        <w:rPr>
          <w:rFonts w:cs="Times New Roman"/>
          <w:color w:val="000000" w:themeColor="text1"/>
        </w:rPr>
        <w:noBreakHyphen/>
      </w:r>
      <w:r w:rsidRPr="00731220">
        <w:rPr>
          <w:rFonts w:cs="Times New Roman"/>
          <w:color w:val="000000" w:themeColor="text1"/>
        </w:rPr>
        <w:t>1</w:t>
      </w:r>
      <w:r>
        <w:rPr>
          <w:rFonts w:cs="Times New Roman"/>
          <w:color w:val="000000" w:themeColor="text1"/>
        </w:rPr>
        <w:noBreakHyphen/>
      </w:r>
      <w:r w:rsidRPr="00731220">
        <w:rPr>
          <w:rFonts w:cs="Times New Roman"/>
          <w:color w:val="000000" w:themeColor="text1"/>
        </w:rPr>
        <w:t>15.”</w:t>
      </w: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Defensive driving course</w:t>
      </w:r>
    </w:p>
    <w:p w:rsidR="00CA7197" w:rsidRPr="004C214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31220">
        <w:rPr>
          <w:rFonts w:cs="Times New Roman"/>
          <w:color w:val="000000" w:themeColor="text1"/>
        </w:rPr>
        <w:t>SECTION</w:t>
      </w:r>
      <w:r w:rsidRPr="00731220">
        <w:rPr>
          <w:rFonts w:cs="Times New Roman"/>
          <w:color w:val="000000" w:themeColor="text1"/>
        </w:rPr>
        <w:tab/>
        <w:t>2.</w:t>
      </w:r>
      <w:r w:rsidRPr="00731220">
        <w:rPr>
          <w:rFonts w:cs="Times New Roman"/>
          <w:color w:val="000000" w:themeColor="text1"/>
        </w:rPr>
        <w:tab/>
        <w:t>Section 56</w:t>
      </w:r>
      <w:r>
        <w:rPr>
          <w:rFonts w:cs="Times New Roman"/>
          <w:color w:val="000000" w:themeColor="text1"/>
        </w:rPr>
        <w:noBreakHyphen/>
      </w:r>
      <w:r w:rsidRPr="00731220">
        <w:rPr>
          <w:rFonts w:cs="Times New Roman"/>
          <w:color w:val="000000" w:themeColor="text1"/>
        </w:rPr>
        <w:t>1</w:t>
      </w:r>
      <w:r>
        <w:rPr>
          <w:rFonts w:cs="Times New Roman"/>
          <w:color w:val="000000" w:themeColor="text1"/>
        </w:rPr>
        <w:noBreakHyphen/>
      </w:r>
      <w:r w:rsidRPr="00731220">
        <w:rPr>
          <w:rFonts w:cs="Times New Roman"/>
          <w:color w:val="000000" w:themeColor="text1"/>
        </w:rPr>
        <w:t>770 of the 1976 Code is amended to read:</w:t>
      </w: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731220">
        <w:rPr>
          <w:rFonts w:cs="Times New Roman"/>
          <w:color w:val="000000" w:themeColor="text1"/>
        </w:rPr>
        <w:tab/>
        <w:t>“Section 56</w:t>
      </w:r>
      <w:r>
        <w:rPr>
          <w:rFonts w:cs="Times New Roman"/>
          <w:color w:val="000000" w:themeColor="text1"/>
        </w:rPr>
        <w:noBreakHyphen/>
      </w:r>
      <w:r w:rsidRPr="00731220">
        <w:rPr>
          <w:rFonts w:cs="Times New Roman"/>
          <w:color w:val="000000" w:themeColor="text1"/>
        </w:rPr>
        <w:t>1</w:t>
      </w:r>
      <w:r>
        <w:rPr>
          <w:rFonts w:cs="Times New Roman"/>
          <w:color w:val="000000" w:themeColor="text1"/>
        </w:rPr>
        <w:noBreakHyphen/>
      </w:r>
      <w:r w:rsidRPr="00731220">
        <w:rPr>
          <w:rFonts w:cs="Times New Roman"/>
          <w:color w:val="000000" w:themeColor="text1"/>
        </w:rPr>
        <w:t>770.</w:t>
      </w:r>
      <w:r w:rsidRPr="00731220">
        <w:rPr>
          <w:rFonts w:cs="Times New Roman"/>
          <w:color w:val="000000" w:themeColor="text1"/>
        </w:rPr>
        <w:tab/>
        <w:t>(A)</w:t>
      </w:r>
      <w:r w:rsidRPr="00731220">
        <w:rPr>
          <w:rFonts w:cs="Times New Roman"/>
          <w:color w:val="000000" w:themeColor="text1"/>
        </w:rPr>
        <w:tab/>
      </w:r>
      <w:r w:rsidRPr="00731220">
        <w:rPr>
          <w:rFonts w:eastAsia="Times New Roman" w:cs="Times New Roman"/>
          <w:szCs w:val="24"/>
        </w:rPr>
        <w:t>Any driver who has accumulated points under the provisions of this article shall have the number of his points reduced by four upon proving to the satisfaction of the Department of Motor Vehicles that he has completed the National Safety Council</w:t>
      </w:r>
      <w:r w:rsidRPr="00CC1676">
        <w:rPr>
          <w:rFonts w:eastAsia="Times New Roman" w:cs="Times New Roman"/>
          <w:szCs w:val="24"/>
        </w:rPr>
        <w:t>’</w:t>
      </w:r>
      <w:r w:rsidRPr="00731220">
        <w:rPr>
          <w:rFonts w:eastAsia="Times New Roman" w:cs="Times New Roman"/>
          <w:szCs w:val="24"/>
        </w:rPr>
        <w:t xml:space="preserve">s </w:t>
      </w:r>
      <w:r w:rsidRPr="00CC1676">
        <w:rPr>
          <w:rFonts w:eastAsia="Times New Roman" w:cs="Times New Roman"/>
          <w:szCs w:val="24"/>
        </w:rPr>
        <w:t>‘</w:t>
      </w:r>
      <w:r w:rsidRPr="00731220">
        <w:rPr>
          <w:rFonts w:eastAsia="Times New Roman" w:cs="Times New Roman"/>
          <w:szCs w:val="24"/>
        </w:rPr>
        <w:t>Defensive Driving Course</w:t>
      </w:r>
      <w:r w:rsidRPr="00CC1676">
        <w:rPr>
          <w:rFonts w:eastAsia="Times New Roman" w:cs="Times New Roman"/>
          <w:szCs w:val="24"/>
        </w:rPr>
        <w:t>’</w:t>
      </w:r>
      <w:r w:rsidRPr="00731220">
        <w:rPr>
          <w:rFonts w:eastAsia="Times New Roman" w:cs="Times New Roman"/>
          <w:szCs w:val="24"/>
        </w:rPr>
        <w:t xml:space="preserve"> or its equivalent, if the course is completed after the points have been assessed. The course must be taught by an instructor accredited by the National Safety Council whose procedures for accreditation are set forth in </w:t>
      </w:r>
      <w:r>
        <w:rPr>
          <w:rFonts w:eastAsia="Times New Roman" w:cs="Times New Roman"/>
          <w:szCs w:val="24"/>
        </w:rPr>
        <w:t xml:space="preserve">the </w:t>
      </w:r>
      <w:r w:rsidRPr="00CC1676">
        <w:rPr>
          <w:rFonts w:eastAsia="Times New Roman" w:cs="Times New Roman"/>
          <w:szCs w:val="24"/>
        </w:rPr>
        <w:t>‘</w:t>
      </w:r>
      <w:r w:rsidRPr="00731220">
        <w:rPr>
          <w:rFonts w:eastAsia="Times New Roman" w:cs="Times New Roman"/>
          <w:szCs w:val="24"/>
        </w:rPr>
        <w:t>Manual of Rules and Procedures</w:t>
      </w:r>
      <w:r w:rsidRPr="00CC1676">
        <w:rPr>
          <w:rFonts w:eastAsia="Times New Roman" w:cs="Times New Roman"/>
          <w:szCs w:val="24"/>
        </w:rPr>
        <w:t>’</w:t>
      </w:r>
      <w:r w:rsidRPr="00731220">
        <w:rPr>
          <w:rFonts w:eastAsia="Times New Roman" w:cs="Times New Roman"/>
          <w:szCs w:val="24"/>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Pr="00CC1676">
        <w:rPr>
          <w:rFonts w:eastAsia="Times New Roman" w:cs="Times New Roman"/>
          <w:szCs w:val="24"/>
        </w:rPr>
        <w:t>’</w:t>
      </w:r>
      <w:r w:rsidRPr="00731220">
        <w:rPr>
          <w:rFonts w:eastAsia="Times New Roman" w:cs="Times New Roman"/>
          <w:szCs w:val="24"/>
        </w:rPr>
        <w:t xml:space="preserve">s </w:t>
      </w:r>
      <w:r w:rsidRPr="00CC1676">
        <w:rPr>
          <w:rFonts w:eastAsia="Times New Roman" w:cs="Times New Roman"/>
          <w:szCs w:val="24"/>
        </w:rPr>
        <w:t>‘</w:t>
      </w:r>
      <w:r w:rsidRPr="00731220">
        <w:rPr>
          <w:rFonts w:eastAsia="Times New Roman" w:cs="Times New Roman"/>
          <w:szCs w:val="24"/>
        </w:rPr>
        <w:t>Defensive Driving Course</w:t>
      </w:r>
      <w:r w:rsidRPr="00CC1676">
        <w:rPr>
          <w:rFonts w:eastAsia="Times New Roman" w:cs="Times New Roman"/>
          <w:szCs w:val="24"/>
        </w:rPr>
        <w:t>’</w:t>
      </w:r>
      <w:r w:rsidRPr="00731220">
        <w:rPr>
          <w:rFonts w:eastAsia="Times New Roman" w:cs="Times New Roman"/>
          <w:szCs w:val="24"/>
        </w:rPr>
        <w:t xml:space="preserve"> or its equivalent when offered by driver training schools and taught by an instructor accredited by the National Safety Council or equivalent accreditation procedures. </w:t>
      </w:r>
    </w:p>
    <w:p w:rsidR="00CA7197" w:rsidRPr="00731220" w:rsidRDefault="00CA7197" w:rsidP="00CA719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u w:color="000000" w:themeColor="text1"/>
        </w:rPr>
      </w:pPr>
      <w:r w:rsidRPr="00731220">
        <w:rPr>
          <w:color w:val="000000" w:themeColor="text1"/>
          <w:sz w:val="22"/>
        </w:rPr>
        <w:tab/>
        <w:t>(B)</w:t>
      </w:r>
      <w:r w:rsidRPr="00731220">
        <w:rPr>
          <w:color w:val="000000" w:themeColor="text1"/>
          <w:sz w:val="22"/>
          <w:u w:color="000000" w:themeColor="text1"/>
        </w:rPr>
        <w:tab/>
        <w:t xml:space="preserve">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w:t>
      </w:r>
      <w:r>
        <w:rPr>
          <w:color w:val="000000" w:themeColor="text1"/>
          <w:sz w:val="22"/>
          <w:u w:color="000000" w:themeColor="text1"/>
        </w:rPr>
        <w:t>t</w:t>
      </w:r>
      <w:r w:rsidRPr="00731220">
        <w:rPr>
          <w:color w:val="000000" w:themeColor="text1"/>
          <w:sz w:val="22"/>
          <w:u w:color="000000" w:themeColor="text1"/>
        </w:rPr>
        <w:t xml:space="preserve">echnical </w:t>
      </w:r>
      <w:r>
        <w:rPr>
          <w:color w:val="000000" w:themeColor="text1"/>
          <w:sz w:val="22"/>
          <w:u w:color="000000" w:themeColor="text1"/>
        </w:rPr>
        <w:t>c</w:t>
      </w:r>
      <w:r w:rsidRPr="00731220">
        <w:rPr>
          <w:color w:val="000000" w:themeColor="text1"/>
          <w:sz w:val="22"/>
          <w:u w:color="000000" w:themeColor="text1"/>
        </w:rPr>
        <w:t xml:space="preserve">ollege motorcycle safety course or its equivalent. All courses offered for point reduction must be at least eight hours in length and be taught by an instructor accredited through a training program in which the procedures for accreditation are equivalent to those set forth in </w:t>
      </w:r>
      <w:r w:rsidRPr="00CC1676">
        <w:rPr>
          <w:color w:val="000000" w:themeColor="text1"/>
          <w:sz w:val="22"/>
          <w:u w:color="000000" w:themeColor="text1"/>
        </w:rPr>
        <w:t>‘</w:t>
      </w:r>
      <w:r w:rsidRPr="00731220">
        <w:rPr>
          <w:color w:val="000000" w:themeColor="text1"/>
          <w:sz w:val="22"/>
          <w:u w:color="000000" w:themeColor="text1"/>
        </w:rPr>
        <w:t>Manual of Rules and Procedures</w:t>
      </w:r>
      <w:r w:rsidRPr="00CC1676">
        <w:rPr>
          <w:color w:val="000000" w:themeColor="text1"/>
          <w:sz w:val="22"/>
          <w:u w:color="000000" w:themeColor="text1"/>
        </w:rPr>
        <w:t>’</w:t>
      </w:r>
      <w:r w:rsidRPr="00731220">
        <w:rPr>
          <w:color w:val="000000" w:themeColor="text1"/>
          <w:sz w:val="22"/>
          <w:u w:color="000000" w:themeColor="text1"/>
        </w:rPr>
        <w:t xml:space="preserve"> published by the National Safety Council.</w:t>
      </w:r>
    </w:p>
    <w:p w:rsidR="00CA7197" w:rsidRPr="00731220"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731220">
        <w:rPr>
          <w:rFonts w:cs="Times New Roman"/>
          <w:color w:val="000000" w:themeColor="text1"/>
        </w:rPr>
        <w:tab/>
      </w:r>
      <w:r w:rsidRPr="00731220">
        <w:rPr>
          <w:rFonts w:cs="Times New Roman"/>
          <w:color w:val="000000" w:themeColor="text1"/>
          <w:u w:color="000000" w:themeColor="text1"/>
        </w:rPr>
        <w:t>(C)</w:t>
      </w:r>
      <w:r w:rsidRPr="00731220">
        <w:rPr>
          <w:rFonts w:cs="Times New Roman"/>
          <w:color w:val="000000" w:themeColor="text1"/>
        </w:rPr>
        <w:tab/>
      </w:r>
      <w:r w:rsidRPr="00731220">
        <w:rPr>
          <w:rFonts w:cs="Times New Roman"/>
          <w:color w:val="000000" w:themeColor="text1"/>
          <w:u w:color="000000" w:themeColor="text1"/>
        </w:rPr>
        <w:t>No person</w:t>
      </w:r>
      <w:r w:rsidRPr="00CC1676">
        <w:rPr>
          <w:rFonts w:cs="Times New Roman"/>
          <w:color w:val="000000" w:themeColor="text1"/>
          <w:u w:color="000000" w:themeColor="text1"/>
        </w:rPr>
        <w:t>’</w:t>
      </w:r>
      <w:r w:rsidRPr="00731220">
        <w:rPr>
          <w:rFonts w:cs="Times New Roman"/>
          <w:color w:val="000000" w:themeColor="text1"/>
          <w:u w:color="000000" w:themeColor="text1"/>
        </w:rPr>
        <w:t>s points may be reduced more than one time in any three</w:t>
      </w:r>
      <w:r>
        <w:rPr>
          <w:rFonts w:cs="Times New Roman"/>
          <w:color w:val="000000" w:themeColor="text1"/>
          <w:u w:color="000000" w:themeColor="text1"/>
        </w:rPr>
        <w:noBreakHyphen/>
      </w:r>
      <w:r w:rsidRPr="00731220">
        <w:rPr>
          <w:rFonts w:cs="Times New Roman"/>
          <w:color w:val="000000" w:themeColor="text1"/>
          <w:u w:color="000000" w:themeColor="text1"/>
        </w:rPr>
        <w:t>year period, pursuant to the provisions contained in this section.</w:t>
      </w:r>
      <w:r w:rsidRPr="00731220">
        <w:rPr>
          <w:rFonts w:eastAsia="Times New Roman" w:cs="Times New Roman"/>
          <w:szCs w:val="24"/>
        </w:rPr>
        <w:t>”</w:t>
      </w: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A7197" w:rsidRDefault="00CA7197" w:rsidP="00CA71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CA7197" w:rsidRPr="004C2140" w:rsidRDefault="00CA7197" w:rsidP="00CA71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A7197" w:rsidRPr="00731220" w:rsidRDefault="00CA7197" w:rsidP="00CA71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1220">
        <w:rPr>
          <w:rFonts w:eastAsia="Times New Roman" w:cs="Times New Roman"/>
        </w:rPr>
        <w:t>SECTION</w:t>
      </w:r>
      <w:r w:rsidRPr="00731220">
        <w:rPr>
          <w:rFonts w:eastAsia="Times New Roman" w:cs="Times New Roman"/>
        </w:rPr>
        <w:tab/>
        <w:t>3.</w:t>
      </w:r>
      <w:r w:rsidRPr="00731220">
        <w:rPr>
          <w:rFonts w:eastAsia="Times New Roman" w:cs="Times New Roman"/>
        </w:rPr>
        <w:tab/>
        <w:t>This act takes effect upon approval by the Governor.</w:t>
      </w: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A7197" w:rsidRDefault="00CA7197"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February, 2018.</w:t>
      </w:r>
    </w:p>
    <w:p w:rsidR="00CA7197" w:rsidRDefault="00CA7197" w:rsidP="00CA7197">
      <w:pPr>
        <w:jc w:val="both"/>
        <w:rPr>
          <w:color w:val="000000" w:themeColor="text1"/>
        </w:rPr>
      </w:pPr>
    </w:p>
    <w:p w:rsidR="00CA7197" w:rsidRDefault="00CA7197" w:rsidP="00CA7197">
      <w:pPr>
        <w:jc w:val="both"/>
        <w:rPr>
          <w:color w:val="000000" w:themeColor="text1"/>
        </w:rPr>
      </w:pPr>
      <w:r>
        <w:rPr>
          <w:color w:val="000000" w:themeColor="text1"/>
        </w:rPr>
        <w:t>Approved the</w:t>
      </w:r>
      <w:r>
        <w:rPr>
          <w:color w:val="000000" w:themeColor="text1"/>
          <w:vertAlign w:val="superscript"/>
        </w:rPr>
        <w:t xml:space="preserve"> </w:t>
      </w:r>
      <w:r>
        <w:rPr>
          <w:color w:val="000000" w:themeColor="text1"/>
        </w:rPr>
        <w:t>5</w:t>
      </w:r>
      <w:r w:rsidRPr="00A401A9">
        <w:rPr>
          <w:color w:val="000000" w:themeColor="text1"/>
          <w:vertAlign w:val="superscript"/>
        </w:rPr>
        <w:t>th</w:t>
      </w:r>
      <w:r>
        <w:rPr>
          <w:color w:val="000000" w:themeColor="text1"/>
        </w:rPr>
        <w:t xml:space="preserve"> day of February, 2018. </w:t>
      </w:r>
    </w:p>
    <w:p w:rsidR="00CA7197" w:rsidRDefault="00CA7197" w:rsidP="00CA7197">
      <w:pPr>
        <w:jc w:val="center"/>
        <w:rPr>
          <w:color w:val="000000" w:themeColor="text1"/>
        </w:rPr>
      </w:pPr>
    </w:p>
    <w:p w:rsidR="00CA7197" w:rsidRDefault="00CA7197" w:rsidP="00CA7197">
      <w:pPr>
        <w:jc w:val="center"/>
        <w:rPr>
          <w:color w:val="000000" w:themeColor="text1"/>
        </w:rPr>
      </w:pPr>
      <w:r>
        <w:rPr>
          <w:color w:val="000000" w:themeColor="text1"/>
        </w:rPr>
        <w:t>__________</w:t>
      </w:r>
    </w:p>
    <w:p w:rsidR="007908A2" w:rsidRPr="00285805" w:rsidRDefault="007908A2" w:rsidP="00CA7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908A2" w:rsidRPr="00285805" w:rsidSect="007908A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4D" w:rsidRDefault="00C56A4D" w:rsidP="007D5FAC">
      <w:r>
        <w:separator/>
      </w:r>
    </w:p>
  </w:endnote>
  <w:endnote w:type="continuationSeparator" w:id="0">
    <w:p w:rsidR="00C56A4D" w:rsidRDefault="00C56A4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8A2" w:rsidRPr="007908A2" w:rsidRDefault="007908A2" w:rsidP="007908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20D3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8A2" w:rsidRDefault="0079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4D" w:rsidRDefault="00C56A4D" w:rsidP="007D5FAC">
      <w:r>
        <w:separator/>
      </w:r>
    </w:p>
  </w:footnote>
  <w:footnote w:type="continuationSeparator" w:id="0">
    <w:p w:rsidR="00C56A4D" w:rsidRDefault="00C56A4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56"/>
    <w:docVar w:name="ActSecretary" w:val="Thurmond"/>
    <w:docVar w:name="ActSIdno" w:val="(140)  456CM18"/>
    <w:docVar w:name="clipname" w:val="456CM18"/>
    <w:docVar w:name="dvBillNumber" w:val="456"/>
    <w:docVar w:name="dvBillNumberPrefix" w:val="S"/>
    <w:docVar w:name="dvOriginalBody" w:val="Senate"/>
    <w:docVar w:name="OrigSENATEBillNo" w:val="456"/>
    <w:docVar w:name="SENATEACTFULLPATH" w:val="L:\COUNCIL\ACTS\456CM18.DOCX"/>
    <w:docVar w:name="WhatActtype" w:val="AN ACT"/>
  </w:docVars>
  <w:rsids>
    <w:rsidRoot w:val="001E3D98"/>
    <w:rsid w:val="00002DE0"/>
    <w:rsid w:val="00020349"/>
    <w:rsid w:val="00020D36"/>
    <w:rsid w:val="00021B0B"/>
    <w:rsid w:val="00030487"/>
    <w:rsid w:val="00040C05"/>
    <w:rsid w:val="0004579B"/>
    <w:rsid w:val="000457FA"/>
    <w:rsid w:val="00051B4F"/>
    <w:rsid w:val="00055653"/>
    <w:rsid w:val="000673E4"/>
    <w:rsid w:val="0007088D"/>
    <w:rsid w:val="00072DC5"/>
    <w:rsid w:val="000731E9"/>
    <w:rsid w:val="00074565"/>
    <w:rsid w:val="00076A1A"/>
    <w:rsid w:val="00077DA3"/>
    <w:rsid w:val="00080036"/>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FF9"/>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3D98"/>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5805"/>
    <w:rsid w:val="00290B61"/>
    <w:rsid w:val="00291330"/>
    <w:rsid w:val="00291CD5"/>
    <w:rsid w:val="00291CF3"/>
    <w:rsid w:val="00293450"/>
    <w:rsid w:val="00294396"/>
    <w:rsid w:val="00296B4D"/>
    <w:rsid w:val="002A6880"/>
    <w:rsid w:val="002A6BEA"/>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5C36"/>
    <w:rsid w:val="00392293"/>
    <w:rsid w:val="0039655A"/>
    <w:rsid w:val="00396C58"/>
    <w:rsid w:val="003A6D96"/>
    <w:rsid w:val="003A7517"/>
    <w:rsid w:val="003B1A01"/>
    <w:rsid w:val="003B2E6E"/>
    <w:rsid w:val="003B355D"/>
    <w:rsid w:val="003B6BB7"/>
    <w:rsid w:val="003B746E"/>
    <w:rsid w:val="003C030C"/>
    <w:rsid w:val="003D2A73"/>
    <w:rsid w:val="003D65D1"/>
    <w:rsid w:val="003F2F2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2140"/>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10C"/>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5177"/>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57B78"/>
    <w:rsid w:val="00663AC3"/>
    <w:rsid w:val="00672283"/>
    <w:rsid w:val="00672966"/>
    <w:rsid w:val="006737AC"/>
    <w:rsid w:val="006750A0"/>
    <w:rsid w:val="00690F2C"/>
    <w:rsid w:val="00690F99"/>
    <w:rsid w:val="00691B24"/>
    <w:rsid w:val="00696C4D"/>
    <w:rsid w:val="00696F5B"/>
    <w:rsid w:val="006A4214"/>
    <w:rsid w:val="006A5B40"/>
    <w:rsid w:val="006A65C8"/>
    <w:rsid w:val="006A6F1D"/>
    <w:rsid w:val="006A7D8A"/>
    <w:rsid w:val="006B263A"/>
    <w:rsid w:val="006B4FA6"/>
    <w:rsid w:val="006C0742"/>
    <w:rsid w:val="006C7535"/>
    <w:rsid w:val="006C7D00"/>
    <w:rsid w:val="006C7DDE"/>
    <w:rsid w:val="006F22C0"/>
    <w:rsid w:val="006F290C"/>
    <w:rsid w:val="007009F2"/>
    <w:rsid w:val="007028C1"/>
    <w:rsid w:val="00704FF9"/>
    <w:rsid w:val="007052EC"/>
    <w:rsid w:val="00707063"/>
    <w:rsid w:val="007127A6"/>
    <w:rsid w:val="00731C9E"/>
    <w:rsid w:val="00733252"/>
    <w:rsid w:val="00734C77"/>
    <w:rsid w:val="00737039"/>
    <w:rsid w:val="007373C7"/>
    <w:rsid w:val="007469F9"/>
    <w:rsid w:val="0074783A"/>
    <w:rsid w:val="007514EF"/>
    <w:rsid w:val="00764BFB"/>
    <w:rsid w:val="00765D0A"/>
    <w:rsid w:val="007664A2"/>
    <w:rsid w:val="007746C2"/>
    <w:rsid w:val="00775216"/>
    <w:rsid w:val="00775B87"/>
    <w:rsid w:val="00784A23"/>
    <w:rsid w:val="007908A2"/>
    <w:rsid w:val="007946C3"/>
    <w:rsid w:val="00795DD0"/>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2D5"/>
    <w:rsid w:val="007E6004"/>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67B4B"/>
    <w:rsid w:val="00870435"/>
    <w:rsid w:val="008733F2"/>
    <w:rsid w:val="008746A0"/>
    <w:rsid w:val="00875B4B"/>
    <w:rsid w:val="00877295"/>
    <w:rsid w:val="00881AD0"/>
    <w:rsid w:val="008836A5"/>
    <w:rsid w:val="00890CF0"/>
    <w:rsid w:val="00892AF7"/>
    <w:rsid w:val="008B2051"/>
    <w:rsid w:val="008B3E9E"/>
    <w:rsid w:val="008B48BD"/>
    <w:rsid w:val="008B552D"/>
    <w:rsid w:val="008C325E"/>
    <w:rsid w:val="008C6AF7"/>
    <w:rsid w:val="008E03BA"/>
    <w:rsid w:val="008E1BCF"/>
    <w:rsid w:val="008F28B0"/>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C7D47"/>
    <w:rsid w:val="009D0B32"/>
    <w:rsid w:val="009D75E7"/>
    <w:rsid w:val="009E40E0"/>
    <w:rsid w:val="009F42DA"/>
    <w:rsid w:val="00A03978"/>
    <w:rsid w:val="00A050C0"/>
    <w:rsid w:val="00A062DB"/>
    <w:rsid w:val="00A14F94"/>
    <w:rsid w:val="00A17C58"/>
    <w:rsid w:val="00A22884"/>
    <w:rsid w:val="00A23CED"/>
    <w:rsid w:val="00A25E64"/>
    <w:rsid w:val="00A26387"/>
    <w:rsid w:val="00A3022E"/>
    <w:rsid w:val="00A32748"/>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BE7"/>
    <w:rsid w:val="00AA64F5"/>
    <w:rsid w:val="00AA73CD"/>
    <w:rsid w:val="00AB1AB5"/>
    <w:rsid w:val="00AB2F1E"/>
    <w:rsid w:val="00AB355F"/>
    <w:rsid w:val="00AC0BD6"/>
    <w:rsid w:val="00AC14ED"/>
    <w:rsid w:val="00AC417A"/>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01D"/>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32E"/>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6A4D"/>
    <w:rsid w:val="00C7071A"/>
    <w:rsid w:val="00C73A60"/>
    <w:rsid w:val="00C74282"/>
    <w:rsid w:val="00C74E9D"/>
    <w:rsid w:val="00C837F6"/>
    <w:rsid w:val="00C92B7D"/>
    <w:rsid w:val="00C92E2B"/>
    <w:rsid w:val="00C94E59"/>
    <w:rsid w:val="00C97CB8"/>
    <w:rsid w:val="00CA23B8"/>
    <w:rsid w:val="00CA4CD7"/>
    <w:rsid w:val="00CA7197"/>
    <w:rsid w:val="00CB12FE"/>
    <w:rsid w:val="00CC1676"/>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32AC"/>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4617"/>
    <w:rsid w:val="00EA03FD"/>
    <w:rsid w:val="00EA2A3A"/>
    <w:rsid w:val="00EA77B0"/>
    <w:rsid w:val="00EA7FA5"/>
    <w:rsid w:val="00EB223A"/>
    <w:rsid w:val="00EC47CE"/>
    <w:rsid w:val="00ED0ACD"/>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77C"/>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137C830-29A0-40E7-B0A9-0C576971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908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semiHidden/>
    <w:unhideWhenUsed/>
    <w:rsid w:val="009C7D47"/>
    <w:rPr>
      <w:rFonts w:cs="Times New Roman"/>
      <w:sz w:val="24"/>
      <w:szCs w:val="24"/>
    </w:rPr>
  </w:style>
  <w:style w:type="paragraph" w:styleId="BalloonText">
    <w:name w:val="Balloon Text"/>
    <w:basedOn w:val="Normal"/>
    <w:link w:val="BalloonTextChar"/>
    <w:uiPriority w:val="99"/>
    <w:semiHidden/>
    <w:unhideWhenUsed/>
    <w:rsid w:val="00ED0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CD"/>
    <w:rPr>
      <w:rFonts w:ascii="Segoe UI" w:hAnsi="Segoe UI" w:cs="Segoe UI"/>
      <w:sz w:val="18"/>
      <w:szCs w:val="18"/>
    </w:rPr>
  </w:style>
  <w:style w:type="table" w:styleId="TableGrid">
    <w:name w:val="Table Grid"/>
    <w:basedOn w:val="TableNormal"/>
    <w:uiPriority w:val="59"/>
    <w:rsid w:val="000800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908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5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2.docx" TargetMode="External"/><Relationship Id="rId13" Type="http://schemas.openxmlformats.org/officeDocument/2006/relationships/hyperlink" Target="file:///h:\hj\20170313.docx" TargetMode="External"/><Relationship Id="rId18" Type="http://schemas.openxmlformats.org/officeDocument/2006/relationships/hyperlink" Target="http://www.scstatehouse.gov/billsearch.php?billnumbers=456&amp;session=122&amp;summary=B" TargetMode="External"/><Relationship Id="rId3" Type="http://schemas.openxmlformats.org/officeDocument/2006/relationships/webSettings" Target="webSettings.xml"/><Relationship Id="rId21" Type="http://schemas.openxmlformats.org/officeDocument/2006/relationships/hyperlink" Target="file:///p:\pprever\2017-18\456_20170510.docx" TargetMode="External"/><Relationship Id="rId7" Type="http://schemas.openxmlformats.org/officeDocument/2006/relationships/hyperlink" Target="file:///h:\sj\20170222.docx" TargetMode="External"/><Relationship Id="rId12" Type="http://schemas.openxmlformats.org/officeDocument/2006/relationships/hyperlink" Target="file:///h:\hj\20170313.docx" TargetMode="External"/><Relationship Id="rId17" Type="http://schemas.openxmlformats.org/officeDocument/2006/relationships/hyperlink" Target="file:///h:\hj\2018011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110.docx" TargetMode="External"/><Relationship Id="rId20" Type="http://schemas.openxmlformats.org/officeDocument/2006/relationships/hyperlink" Target="file:///p:\pprever\2017-18\456_20170302.docx" TargetMode="External"/><Relationship Id="rId1" Type="http://schemas.openxmlformats.org/officeDocument/2006/relationships/styles" Target="styles.xml"/><Relationship Id="rId6" Type="http://schemas.openxmlformats.org/officeDocument/2006/relationships/hyperlink" Target="file:///h:\sj\20170222.docx" TargetMode="External"/><Relationship Id="rId11" Type="http://schemas.openxmlformats.org/officeDocument/2006/relationships/hyperlink" Target="file:///h:\sj\201703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110.docx" TargetMode="External"/><Relationship Id="rId23" Type="http://schemas.openxmlformats.org/officeDocument/2006/relationships/footer" Target="footer2.xml"/><Relationship Id="rId10" Type="http://schemas.openxmlformats.org/officeDocument/2006/relationships/hyperlink" Target="file:///h:\sj\20170308.docx" TargetMode="External"/><Relationship Id="rId19" Type="http://schemas.openxmlformats.org/officeDocument/2006/relationships/hyperlink" Target="file:///p:\pprever\2017-18\456_20170222.docx" TargetMode="External"/><Relationship Id="rId4" Type="http://schemas.openxmlformats.org/officeDocument/2006/relationships/footnotes" Target="footnotes.xml"/><Relationship Id="rId9" Type="http://schemas.openxmlformats.org/officeDocument/2006/relationships/hyperlink" Target="file:///h:\sj\20170308.docx" TargetMode="External"/><Relationship Id="rId14" Type="http://schemas.openxmlformats.org/officeDocument/2006/relationships/hyperlink" Target="file:///h:\hj\201705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FD64DB41</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456: Motorcycle Beginner's permits - South Carolina Legislature Online</dc:title>
  <dc:subject/>
  <dc:creator>Gwen Thurmond</dc:creator>
  <cp:keywords/>
  <dc:description/>
  <cp:lastModifiedBy>Lavarres Lynch</cp:lastModifiedBy>
  <cp:revision>2</cp:revision>
  <cp:lastPrinted>2018-01-11T19:56:00Z</cp:lastPrinted>
  <dcterms:created xsi:type="dcterms:W3CDTF">2018-08-29T14:34:00Z</dcterms:created>
  <dcterms:modified xsi:type="dcterms:W3CDTF">2018-08-29T14:34:00Z</dcterms:modified>
</cp:coreProperties>
</file>