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F26C3">
        <w:rPr>
          <w:rFonts w:eastAsia="Times New Roman" w:cs="Times New Roman"/>
          <w:b/>
          <w:szCs w:val="20"/>
        </w:rPr>
        <w:t>South Carolina General Assembly</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F26C3">
        <w:rPr>
          <w:rFonts w:eastAsia="Times New Roman" w:cs="Times New Roman"/>
          <w:szCs w:val="20"/>
        </w:rPr>
        <w:t>122nd Session, 2017-2018</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26C3" w:rsidRPr="006F26C3" w:rsidRDefault="001A0172"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A158, R169, H4654</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b/>
          <w:szCs w:val="20"/>
        </w:rPr>
        <w:t>STATUS INFORMATION</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szCs w:val="20"/>
        </w:rPr>
        <w:t>General Bill</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szCs w:val="20"/>
        </w:rPr>
        <w:t>Sponsors: Reps. Sandifer and Spires</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szCs w:val="20"/>
        </w:rPr>
        <w:t>Document Path: l:\council\bills\nbd\11200cz18.docx</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szCs w:val="20"/>
        </w:rPr>
        <w:t>Companion/Similar bill(s): 863</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224E" w:rsidRDefault="004C224E"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2018</w:t>
      </w:r>
    </w:p>
    <w:p w:rsidR="004C224E" w:rsidRDefault="004C224E"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2018</w:t>
      </w:r>
    </w:p>
    <w:p w:rsidR="004C224E" w:rsidRDefault="004C224E"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7, 2018</w:t>
      </w:r>
    </w:p>
    <w:p w:rsidR="004C224E" w:rsidRDefault="004C224E"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4, 2018</w:t>
      </w:r>
    </w:p>
    <w:p w:rsidR="004C224E" w:rsidRDefault="004C224E"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17, 2018, Signed</w:t>
      </w:r>
    </w:p>
    <w:p w:rsidR="004C224E" w:rsidRDefault="004C224E"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szCs w:val="20"/>
        </w:rPr>
        <w:t>Summary: Insurance producers</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26C3" w:rsidRPr="006F26C3" w:rsidRDefault="006F26C3" w:rsidP="006F26C3">
      <w:pPr>
        <w:widowControl w:val="0"/>
        <w:tabs>
          <w:tab w:val="center" w:pos="590"/>
          <w:tab w:val="center" w:pos="1440"/>
          <w:tab w:val="left" w:pos="1872"/>
          <w:tab w:val="left" w:pos="9187"/>
        </w:tabs>
        <w:rPr>
          <w:rFonts w:eastAsia="Times New Roman" w:cs="Times New Roman"/>
          <w:szCs w:val="20"/>
        </w:rPr>
      </w:pPr>
      <w:r w:rsidRPr="006F26C3">
        <w:rPr>
          <w:rFonts w:eastAsia="Times New Roman" w:cs="Times New Roman"/>
          <w:b/>
          <w:szCs w:val="20"/>
        </w:rPr>
        <w:t>HISTORY OF LEGISLATIVE ACTIONS</w:t>
      </w:r>
    </w:p>
    <w:p w:rsidR="006F26C3" w:rsidRPr="006F26C3" w:rsidRDefault="006F26C3" w:rsidP="006F26C3">
      <w:pPr>
        <w:widowControl w:val="0"/>
        <w:tabs>
          <w:tab w:val="center" w:pos="590"/>
          <w:tab w:val="center" w:pos="1440"/>
          <w:tab w:val="left" w:pos="1872"/>
          <w:tab w:val="left" w:pos="9187"/>
        </w:tabs>
        <w:rPr>
          <w:rFonts w:eastAsia="Times New Roman" w:cs="Times New Roman"/>
          <w:szCs w:val="20"/>
        </w:rPr>
      </w:pPr>
    </w:p>
    <w:p w:rsidR="006F26C3" w:rsidRPr="006F26C3" w:rsidRDefault="006F26C3" w:rsidP="006F26C3">
      <w:pPr>
        <w:widowControl w:val="0"/>
        <w:tabs>
          <w:tab w:val="center" w:pos="590"/>
          <w:tab w:val="center" w:pos="1440"/>
          <w:tab w:val="left" w:pos="1872"/>
          <w:tab w:val="left" w:pos="9187"/>
        </w:tabs>
        <w:rPr>
          <w:rFonts w:eastAsia="Times New Roman" w:cs="Times New Roman"/>
          <w:szCs w:val="20"/>
        </w:rPr>
      </w:pPr>
      <w:r w:rsidRPr="006F26C3">
        <w:rPr>
          <w:rFonts w:eastAsia="Times New Roman" w:cs="Times New Roman"/>
          <w:szCs w:val="20"/>
          <w:u w:val="single"/>
        </w:rPr>
        <w:tab/>
        <w:t>Date</w:t>
      </w:r>
      <w:r w:rsidRPr="006F26C3">
        <w:rPr>
          <w:rFonts w:eastAsia="Times New Roman" w:cs="Times New Roman"/>
          <w:szCs w:val="20"/>
          <w:u w:val="single"/>
        </w:rPr>
        <w:tab/>
        <w:t>Body</w:t>
      </w:r>
      <w:r w:rsidRPr="006F26C3">
        <w:rPr>
          <w:rFonts w:eastAsia="Times New Roman" w:cs="Times New Roman"/>
          <w:szCs w:val="20"/>
          <w:u w:val="single"/>
        </w:rPr>
        <w:tab/>
        <w:t>Action Description with journal page number</w:t>
      </w:r>
      <w:r w:rsidRPr="006F26C3">
        <w:rPr>
          <w:rFonts w:eastAsia="Times New Roman" w:cs="Times New Roman"/>
          <w:szCs w:val="20"/>
          <w:u w:val="single"/>
        </w:rPr>
        <w:tab/>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002163">
        <w:rPr>
          <w:rFonts w:cs="Times New Roman"/>
        </w:rPr>
        <w:t>Introduced and read first time (</w:t>
      </w:r>
      <w:hyperlink r:id="rId7" w:history="1">
        <w:r w:rsidRPr="00002163">
          <w:rPr>
            <w:rStyle w:val="Hyperlink"/>
            <w:rFonts w:cs="Times New Roman"/>
          </w:rPr>
          <w:t>House Journal</w:t>
        </w:r>
        <w:r w:rsidRPr="00002163">
          <w:rPr>
            <w:rStyle w:val="Hyperlink"/>
            <w:rFonts w:cs="Times New Roman"/>
          </w:rPr>
          <w:noBreakHyphen/>
          <w:t>page 28</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002163">
        <w:rPr>
          <w:rFonts w:cs="Times New Roman"/>
        </w:rPr>
        <w:t>Referred to C</w:t>
      </w:r>
      <w:r>
        <w:rPr>
          <w:rFonts w:cs="Times New Roman"/>
        </w:rPr>
        <w:t xml:space="preserve">ommittee on </w:t>
      </w:r>
      <w:r w:rsidRPr="00002163">
        <w:rPr>
          <w:rFonts w:cs="Times New Roman"/>
          <w:b/>
        </w:rPr>
        <w:t>Labor, Commerce and Industry</w:t>
      </w:r>
      <w:r w:rsidRPr="00002163">
        <w:rPr>
          <w:rFonts w:cs="Times New Roman"/>
        </w:rPr>
        <w:t xml:space="preserve"> (</w:t>
      </w:r>
      <w:hyperlink r:id="rId8" w:history="1">
        <w:r w:rsidRPr="00002163">
          <w:rPr>
            <w:rStyle w:val="Hyperlink"/>
            <w:rFonts w:cs="Times New Roman"/>
          </w:rPr>
          <w:t>House Journal</w:t>
        </w:r>
        <w:r w:rsidRPr="00002163">
          <w:rPr>
            <w:rStyle w:val="Hyperlink"/>
            <w:rFonts w:cs="Times New Roman"/>
          </w:rPr>
          <w:noBreakHyphen/>
          <w:t>page 28</w:t>
        </w:r>
      </w:hyperlink>
      <w:bookmarkStart w:id="0" w:name="_GoBack"/>
      <w:bookmarkEnd w:id="0"/>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002163">
        <w:rPr>
          <w:rFonts w:cs="Times New Roman"/>
        </w:rPr>
        <w:t>Committee report</w:t>
      </w:r>
      <w:r>
        <w:rPr>
          <w:rFonts w:cs="Times New Roman"/>
        </w:rPr>
        <w:t xml:space="preserve">: Favorable </w:t>
      </w:r>
      <w:r w:rsidRPr="00002163">
        <w:rPr>
          <w:rFonts w:cs="Times New Roman"/>
          <w:b/>
        </w:rPr>
        <w:t>Labor, Commerce and Industry</w:t>
      </w:r>
      <w:r w:rsidRPr="00002163">
        <w:rPr>
          <w:rFonts w:cs="Times New Roman"/>
        </w:rPr>
        <w:t xml:space="preserve"> (</w:t>
      </w:r>
      <w:hyperlink r:id="rId9" w:history="1">
        <w:r w:rsidRPr="00002163">
          <w:rPr>
            <w:rStyle w:val="Hyperlink"/>
            <w:rFonts w:cs="Times New Roman"/>
          </w:rPr>
          <w:t>House Journal</w:t>
        </w:r>
        <w:r w:rsidRPr="00002163">
          <w:rPr>
            <w:rStyle w:val="Hyperlink"/>
            <w:rFonts w:cs="Times New Roman"/>
          </w:rPr>
          <w:noBreakHyphen/>
          <w:t>page 16</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002163">
        <w:rPr>
          <w:rFonts w:cs="Times New Roman"/>
        </w:rPr>
        <w:t>Read second time (</w:t>
      </w:r>
      <w:hyperlink r:id="rId10" w:history="1">
        <w:r w:rsidRPr="00002163">
          <w:rPr>
            <w:rStyle w:val="Hyperlink"/>
            <w:rFonts w:cs="Times New Roman"/>
          </w:rPr>
          <w:t>House Journal</w:t>
        </w:r>
        <w:r w:rsidRPr="00002163">
          <w:rPr>
            <w:rStyle w:val="Hyperlink"/>
            <w:rFonts w:cs="Times New Roman"/>
          </w:rPr>
          <w:noBreakHyphen/>
          <w:t>page 24</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002163">
        <w:rPr>
          <w:rFonts w:cs="Times New Roman"/>
        </w:rPr>
        <w:t>Roll call Yeas</w:t>
      </w:r>
      <w:r>
        <w:rPr>
          <w:rFonts w:cs="Times New Roman"/>
        </w:rPr>
        <w:noBreakHyphen/>
      </w:r>
      <w:r w:rsidRPr="00002163">
        <w:rPr>
          <w:rFonts w:cs="Times New Roman"/>
        </w:rPr>
        <w:t>104  Nays</w:t>
      </w:r>
      <w:r>
        <w:rPr>
          <w:rFonts w:cs="Times New Roman"/>
        </w:rPr>
        <w:noBreakHyphen/>
      </w:r>
      <w:r w:rsidRPr="00002163">
        <w:rPr>
          <w:rFonts w:cs="Times New Roman"/>
        </w:rPr>
        <w:t>1 (</w:t>
      </w:r>
      <w:hyperlink r:id="rId11" w:history="1">
        <w:r w:rsidRPr="00002163">
          <w:rPr>
            <w:rStyle w:val="Hyperlink"/>
            <w:rFonts w:cs="Times New Roman"/>
          </w:rPr>
          <w:t>House Journal</w:t>
        </w:r>
        <w:r w:rsidRPr="00002163">
          <w:rPr>
            <w:rStyle w:val="Hyperlink"/>
            <w:rFonts w:cs="Times New Roman"/>
          </w:rPr>
          <w:noBreakHyphen/>
          <w:t>page 25</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002163">
        <w:rPr>
          <w:rFonts w:cs="Times New Roman"/>
        </w:rPr>
        <w:t>Rea</w:t>
      </w:r>
      <w:r>
        <w:rPr>
          <w:rFonts w:cs="Times New Roman"/>
        </w:rPr>
        <w:t xml:space="preserve">d third time and sent to Senate </w:t>
      </w:r>
      <w:r w:rsidRPr="00002163">
        <w:rPr>
          <w:rFonts w:cs="Times New Roman"/>
        </w:rPr>
        <w:t>(</w:t>
      </w:r>
      <w:hyperlink r:id="rId12" w:history="1">
        <w:r w:rsidRPr="00002163">
          <w:rPr>
            <w:rStyle w:val="Hyperlink"/>
            <w:rFonts w:cs="Times New Roman"/>
          </w:rPr>
          <w:t>House Journal</w:t>
        </w:r>
        <w:r w:rsidRPr="00002163">
          <w:rPr>
            <w:rStyle w:val="Hyperlink"/>
            <w:rFonts w:cs="Times New Roman"/>
          </w:rPr>
          <w:noBreakHyphen/>
          <w:t>page 12</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002163">
        <w:rPr>
          <w:rFonts w:cs="Times New Roman"/>
        </w:rPr>
        <w:t>Introduced and read first time (</w:t>
      </w:r>
      <w:hyperlink r:id="rId13" w:history="1">
        <w:r w:rsidRPr="00002163">
          <w:rPr>
            <w:rStyle w:val="Hyperlink"/>
            <w:rFonts w:cs="Times New Roman"/>
          </w:rPr>
          <w:t>Senate Journal</w:t>
        </w:r>
        <w:r w:rsidRPr="00002163">
          <w:rPr>
            <w:rStyle w:val="Hyperlink"/>
            <w:rFonts w:cs="Times New Roman"/>
          </w:rPr>
          <w:noBreakHyphen/>
          <w:t>page 28</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002163">
        <w:rPr>
          <w:rFonts w:cs="Times New Roman"/>
        </w:rPr>
        <w:t xml:space="preserve">Referred to Committee on </w:t>
      </w:r>
      <w:r w:rsidRPr="00002163">
        <w:rPr>
          <w:rFonts w:cs="Times New Roman"/>
          <w:b/>
        </w:rPr>
        <w:t>Banking and Insurance</w:t>
      </w:r>
      <w:r>
        <w:rPr>
          <w:rFonts w:cs="Times New Roman"/>
        </w:rPr>
        <w:t xml:space="preserve"> </w:t>
      </w:r>
      <w:r w:rsidRPr="00002163">
        <w:rPr>
          <w:rFonts w:cs="Times New Roman"/>
        </w:rPr>
        <w:t>(</w:t>
      </w:r>
      <w:hyperlink r:id="rId14" w:history="1">
        <w:r w:rsidRPr="00002163">
          <w:rPr>
            <w:rStyle w:val="Hyperlink"/>
            <w:rFonts w:cs="Times New Roman"/>
          </w:rPr>
          <w:t>Senate Journal</w:t>
        </w:r>
        <w:r w:rsidRPr="00002163">
          <w:rPr>
            <w:rStyle w:val="Hyperlink"/>
            <w:rFonts w:cs="Times New Roman"/>
          </w:rPr>
          <w:noBreakHyphen/>
          <w:t>page 28</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002163">
        <w:rPr>
          <w:rFonts w:cs="Times New Roman"/>
        </w:rPr>
        <w:t xml:space="preserve">Committee report: </w:t>
      </w:r>
      <w:r>
        <w:rPr>
          <w:rFonts w:cs="Times New Roman"/>
        </w:rPr>
        <w:t xml:space="preserve">Favorable </w:t>
      </w:r>
      <w:r w:rsidRPr="00002163">
        <w:rPr>
          <w:rFonts w:cs="Times New Roman"/>
          <w:b/>
        </w:rPr>
        <w:t>Banking and Insurance</w:t>
      </w:r>
      <w:r>
        <w:rPr>
          <w:rFonts w:cs="Times New Roman"/>
        </w:rPr>
        <w:t xml:space="preserve"> </w:t>
      </w:r>
      <w:r w:rsidRPr="00002163">
        <w:rPr>
          <w:rFonts w:cs="Times New Roman"/>
        </w:rPr>
        <w:t>(</w:t>
      </w:r>
      <w:hyperlink r:id="rId15" w:history="1">
        <w:r w:rsidRPr="00002163">
          <w:rPr>
            <w:rStyle w:val="Hyperlink"/>
            <w:rFonts w:cs="Times New Roman"/>
          </w:rPr>
          <w:t>Senate Journal</w:t>
        </w:r>
        <w:r w:rsidRPr="00002163">
          <w:rPr>
            <w:rStyle w:val="Hyperlink"/>
            <w:rFonts w:cs="Times New Roman"/>
          </w:rPr>
          <w:noBreakHyphen/>
          <w:t>page 280</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002163">
        <w:rPr>
          <w:rFonts w:cs="Times New Roman"/>
        </w:rPr>
        <w:t>Amended (</w:t>
      </w:r>
      <w:hyperlink r:id="rId16" w:history="1">
        <w:r w:rsidRPr="00002163">
          <w:rPr>
            <w:rStyle w:val="Hyperlink"/>
            <w:rFonts w:cs="Times New Roman"/>
          </w:rPr>
          <w:t>Senate Journal</w:t>
        </w:r>
        <w:r w:rsidRPr="00002163">
          <w:rPr>
            <w:rStyle w:val="Hyperlink"/>
            <w:rFonts w:cs="Times New Roman"/>
          </w:rPr>
          <w:noBreakHyphen/>
          <w:t>page 50</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r>
      <w:r>
        <w:rPr>
          <w:rFonts w:cs="Times New Roman"/>
        </w:rPr>
        <w:tab/>
      </w:r>
      <w:r w:rsidRPr="00002163">
        <w:rPr>
          <w:rFonts w:cs="Times New Roman"/>
        </w:rPr>
        <w:t>Scrivener's error corrected</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002163">
        <w:rPr>
          <w:rFonts w:cs="Times New Roman"/>
        </w:rPr>
        <w:t>Read second time (</w:t>
      </w:r>
      <w:hyperlink r:id="rId17" w:history="1">
        <w:r w:rsidRPr="00002163">
          <w:rPr>
            <w:rStyle w:val="Hyperlink"/>
            <w:rFonts w:cs="Times New Roman"/>
          </w:rPr>
          <w:t>Senate Journal</w:t>
        </w:r>
        <w:r w:rsidRPr="00002163">
          <w:rPr>
            <w:rStyle w:val="Hyperlink"/>
            <w:rFonts w:cs="Times New Roman"/>
          </w:rPr>
          <w:noBreakHyphen/>
          <w:t>page 38</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002163">
        <w:rPr>
          <w:rFonts w:cs="Times New Roman"/>
        </w:rPr>
        <w:t>Roll call Ayes</w:t>
      </w:r>
      <w:r>
        <w:rPr>
          <w:rFonts w:cs="Times New Roman"/>
        </w:rPr>
        <w:noBreakHyphen/>
      </w:r>
      <w:r w:rsidRPr="00002163">
        <w:rPr>
          <w:rFonts w:cs="Times New Roman"/>
        </w:rPr>
        <w:t>43  Nays</w:t>
      </w:r>
      <w:r>
        <w:rPr>
          <w:rFonts w:cs="Times New Roman"/>
        </w:rPr>
        <w:noBreakHyphen/>
      </w:r>
      <w:r w:rsidRPr="00002163">
        <w:rPr>
          <w:rFonts w:cs="Times New Roman"/>
        </w:rPr>
        <w:t>0 (</w:t>
      </w:r>
      <w:hyperlink r:id="rId18" w:history="1">
        <w:r w:rsidRPr="00002163">
          <w:rPr>
            <w:rStyle w:val="Hyperlink"/>
            <w:rFonts w:cs="Times New Roman"/>
          </w:rPr>
          <w:t>Senate Journal</w:t>
        </w:r>
        <w:r w:rsidRPr="00002163">
          <w:rPr>
            <w:rStyle w:val="Hyperlink"/>
            <w:rFonts w:cs="Times New Roman"/>
          </w:rPr>
          <w:noBreakHyphen/>
          <w:t>page 38</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002163">
        <w:rPr>
          <w:rFonts w:cs="Times New Roman"/>
        </w:rPr>
        <w:t xml:space="preserve">Read third </w:t>
      </w:r>
      <w:r>
        <w:rPr>
          <w:rFonts w:cs="Times New Roman"/>
        </w:rPr>
        <w:t xml:space="preserve">time and returned to House with </w:t>
      </w:r>
      <w:r w:rsidRPr="00002163">
        <w:rPr>
          <w:rFonts w:cs="Times New Roman"/>
        </w:rPr>
        <w:t>amendments (</w:t>
      </w:r>
      <w:hyperlink r:id="rId19" w:history="1">
        <w:r w:rsidRPr="00002163">
          <w:rPr>
            <w:rStyle w:val="Hyperlink"/>
            <w:rFonts w:cs="Times New Roman"/>
          </w:rPr>
          <w:t>Senate Journal</w:t>
        </w:r>
        <w:r w:rsidRPr="00002163">
          <w:rPr>
            <w:rStyle w:val="Hyperlink"/>
            <w:rFonts w:cs="Times New Roman"/>
          </w:rPr>
          <w:noBreakHyphen/>
          <w:t>page 17</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002163">
        <w:rPr>
          <w:rFonts w:cs="Times New Roman"/>
        </w:rPr>
        <w:t>Concurred i</w:t>
      </w:r>
      <w:r>
        <w:rPr>
          <w:rFonts w:cs="Times New Roman"/>
        </w:rPr>
        <w:t xml:space="preserve">n Senate amendment and enrolled </w:t>
      </w:r>
      <w:r w:rsidRPr="00002163">
        <w:rPr>
          <w:rFonts w:cs="Times New Roman"/>
        </w:rPr>
        <w:t>(</w:t>
      </w:r>
      <w:hyperlink r:id="rId20" w:history="1">
        <w:r w:rsidRPr="00002163">
          <w:rPr>
            <w:rStyle w:val="Hyperlink"/>
            <w:rFonts w:cs="Times New Roman"/>
          </w:rPr>
          <w:t>House Journal</w:t>
        </w:r>
        <w:r w:rsidRPr="00002163">
          <w:rPr>
            <w:rStyle w:val="Hyperlink"/>
            <w:rFonts w:cs="Times New Roman"/>
          </w:rPr>
          <w:noBreakHyphen/>
          <w:t>page 31</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002163">
        <w:rPr>
          <w:rFonts w:cs="Times New Roman"/>
        </w:rPr>
        <w:t>Roll call Yeas</w:t>
      </w:r>
      <w:r>
        <w:rPr>
          <w:rFonts w:cs="Times New Roman"/>
        </w:rPr>
        <w:noBreakHyphen/>
      </w:r>
      <w:r w:rsidRPr="00002163">
        <w:rPr>
          <w:rFonts w:cs="Times New Roman"/>
        </w:rPr>
        <w:t>99  Nays</w:t>
      </w:r>
      <w:r>
        <w:rPr>
          <w:rFonts w:cs="Times New Roman"/>
        </w:rPr>
        <w:noBreakHyphen/>
      </w:r>
      <w:r w:rsidRPr="00002163">
        <w:rPr>
          <w:rFonts w:cs="Times New Roman"/>
        </w:rPr>
        <w:t>0 (</w:t>
      </w:r>
      <w:hyperlink r:id="rId21" w:history="1">
        <w:r w:rsidRPr="00002163">
          <w:rPr>
            <w:rStyle w:val="Hyperlink"/>
            <w:rFonts w:cs="Times New Roman"/>
          </w:rPr>
          <w:t>House Journal</w:t>
        </w:r>
        <w:r w:rsidRPr="00002163">
          <w:rPr>
            <w:rStyle w:val="Hyperlink"/>
            <w:rFonts w:cs="Times New Roman"/>
          </w:rPr>
          <w:noBreakHyphen/>
          <w:t>page 32</w:t>
        </w:r>
      </w:hyperlink>
      <w:r w:rsidRPr="00002163">
        <w:rPr>
          <w:rFonts w:cs="Times New Roman"/>
        </w:rPr>
        <w:t>)</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002163">
        <w:rPr>
          <w:rFonts w:cs="Times New Roman"/>
        </w:rPr>
        <w:t>Ratified R 169</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002163">
        <w:rPr>
          <w:rFonts w:cs="Times New Roman"/>
        </w:rPr>
        <w:t>Signed By Governor</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002163">
        <w:rPr>
          <w:rFonts w:cs="Times New Roman"/>
        </w:rPr>
        <w:t>Effective date 04/17/18</w:t>
      </w:r>
    </w:p>
    <w:p w:rsidR="001A0172" w:rsidRDefault="001A0172" w:rsidP="001A0172">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002163">
        <w:rPr>
          <w:rFonts w:cs="Times New Roman"/>
        </w:rPr>
        <w:t>Act No</w:t>
      </w:r>
      <w:r>
        <w:rPr>
          <w:rFonts w:cs="Times New Roman"/>
        </w:rPr>
        <w:t>. </w:t>
      </w:r>
      <w:r w:rsidRPr="00002163">
        <w:rPr>
          <w:rFonts w:cs="Times New Roman"/>
        </w:rPr>
        <w:t>158</w:t>
      </w:r>
    </w:p>
    <w:p w:rsidR="001A0172" w:rsidRDefault="001A0172" w:rsidP="001A0172">
      <w:pPr>
        <w:widowControl w:val="0"/>
        <w:tabs>
          <w:tab w:val="right" w:pos="1008"/>
          <w:tab w:val="left" w:pos="1152"/>
          <w:tab w:val="left" w:pos="1872"/>
          <w:tab w:val="left" w:pos="9187"/>
        </w:tabs>
        <w:ind w:left="2088" w:hanging="2088"/>
        <w:rPr>
          <w:rFonts w:cs="Times New Roman"/>
        </w:rPr>
      </w:pPr>
    </w:p>
    <w:p w:rsidR="006F26C3" w:rsidRPr="006F26C3" w:rsidRDefault="006F26C3" w:rsidP="006F26C3">
      <w:pPr>
        <w:widowControl w:val="0"/>
        <w:tabs>
          <w:tab w:val="right" w:pos="1008"/>
          <w:tab w:val="left" w:pos="1152"/>
          <w:tab w:val="left" w:pos="1872"/>
          <w:tab w:val="left" w:pos="9187"/>
        </w:tabs>
        <w:ind w:left="2088" w:hanging="2088"/>
        <w:rPr>
          <w:rFonts w:eastAsia="Times New Roman" w:cs="Times New Roman"/>
          <w:szCs w:val="20"/>
        </w:rPr>
      </w:pPr>
      <w:r w:rsidRPr="006F26C3">
        <w:rPr>
          <w:rFonts w:eastAsia="Times New Roman" w:cs="Times New Roman"/>
          <w:szCs w:val="20"/>
        </w:rPr>
        <w:t xml:space="preserve">View the latest </w:t>
      </w:r>
      <w:hyperlink r:id="rId22" w:history="1">
        <w:r w:rsidRPr="006F26C3">
          <w:rPr>
            <w:rFonts w:eastAsia="Times New Roman" w:cs="Times New Roman"/>
            <w:color w:val="0000FF" w:themeColor="hyperlink"/>
            <w:szCs w:val="20"/>
            <w:u w:val="single"/>
          </w:rPr>
          <w:t>legislative information</w:t>
        </w:r>
      </w:hyperlink>
      <w:r w:rsidRPr="006F26C3">
        <w:rPr>
          <w:rFonts w:eastAsia="Times New Roman" w:cs="Times New Roman"/>
          <w:szCs w:val="20"/>
        </w:rPr>
        <w:t xml:space="preserve"> at the website</w:t>
      </w:r>
    </w:p>
    <w:p w:rsidR="006F26C3" w:rsidRPr="006F26C3" w:rsidRDefault="006F26C3" w:rsidP="006F26C3">
      <w:pPr>
        <w:widowControl w:val="0"/>
        <w:tabs>
          <w:tab w:val="right" w:pos="1008"/>
          <w:tab w:val="left" w:pos="1152"/>
          <w:tab w:val="left" w:pos="1872"/>
          <w:tab w:val="left" w:pos="9187"/>
        </w:tabs>
        <w:ind w:left="2088" w:hanging="2088"/>
        <w:rPr>
          <w:rFonts w:eastAsia="Times New Roman" w:cs="Times New Roman"/>
          <w:szCs w:val="20"/>
        </w:rPr>
      </w:pPr>
    </w:p>
    <w:p w:rsidR="006F26C3" w:rsidRPr="006F26C3" w:rsidRDefault="006F26C3" w:rsidP="006F26C3">
      <w:pPr>
        <w:widowControl w:val="0"/>
        <w:tabs>
          <w:tab w:val="right" w:pos="1008"/>
          <w:tab w:val="left" w:pos="1152"/>
          <w:tab w:val="left" w:pos="1872"/>
          <w:tab w:val="left" w:pos="9187"/>
        </w:tabs>
        <w:ind w:left="2088" w:hanging="2088"/>
        <w:rPr>
          <w:rFonts w:eastAsia="Times New Roman" w:cs="Times New Roman"/>
          <w:szCs w:val="20"/>
        </w:rPr>
      </w:pP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26C3">
        <w:rPr>
          <w:rFonts w:eastAsia="Times New Roman" w:cs="Times New Roman"/>
          <w:b/>
          <w:szCs w:val="20"/>
        </w:rPr>
        <w:t>VERSIONS OF THIS BILL</w:t>
      </w:r>
    </w:p>
    <w:p w:rsidR="006F26C3" w:rsidRPr="006F26C3" w:rsidRDefault="006F26C3"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26C3" w:rsidRPr="006F26C3" w:rsidRDefault="00E82D2C" w:rsidP="006F2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F26C3" w:rsidRPr="006F26C3">
          <w:rPr>
            <w:rFonts w:eastAsia="Times New Roman" w:cs="Times New Roman"/>
            <w:color w:val="0000FF" w:themeColor="hyperlink"/>
            <w:szCs w:val="20"/>
            <w:u w:val="single"/>
          </w:rPr>
          <w:t>1/23/2018</w:t>
        </w:r>
      </w:hyperlink>
    </w:p>
    <w:p w:rsidR="006F26C3" w:rsidRPr="006F26C3" w:rsidRDefault="00E82D2C" w:rsidP="006F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F26C3" w:rsidRPr="006F26C3">
          <w:rPr>
            <w:rFonts w:eastAsia="Times New Roman" w:cs="Times New Roman"/>
            <w:color w:val="0000FF" w:themeColor="hyperlink"/>
            <w:szCs w:val="20"/>
            <w:u w:val="single"/>
          </w:rPr>
          <w:t>2/1/2018</w:t>
        </w:r>
      </w:hyperlink>
    </w:p>
    <w:p w:rsidR="006F26C3" w:rsidRPr="006F26C3" w:rsidRDefault="00E82D2C" w:rsidP="006F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F26C3" w:rsidRPr="006F26C3">
          <w:rPr>
            <w:rFonts w:eastAsia="Times New Roman" w:cs="Times New Roman"/>
            <w:color w:val="0000FF" w:themeColor="hyperlink"/>
            <w:szCs w:val="20"/>
            <w:u w:val="single"/>
          </w:rPr>
          <w:t>2/20/2018</w:t>
        </w:r>
      </w:hyperlink>
    </w:p>
    <w:p w:rsidR="006F26C3" w:rsidRPr="006F26C3" w:rsidRDefault="00E82D2C" w:rsidP="006F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F26C3" w:rsidRPr="006F26C3">
          <w:rPr>
            <w:rFonts w:eastAsia="Times New Roman" w:cs="Times New Roman"/>
            <w:color w:val="0000FF" w:themeColor="hyperlink"/>
            <w:szCs w:val="20"/>
            <w:u w:val="single"/>
          </w:rPr>
          <w:t>3/7/2018</w:t>
        </w:r>
      </w:hyperlink>
    </w:p>
    <w:p w:rsidR="006F26C3" w:rsidRPr="006F26C3" w:rsidRDefault="00E82D2C" w:rsidP="006F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F26C3" w:rsidRPr="006F26C3">
          <w:rPr>
            <w:rFonts w:eastAsia="Times New Roman" w:cs="Times New Roman"/>
            <w:color w:val="0000FF" w:themeColor="hyperlink"/>
            <w:szCs w:val="20"/>
            <w:u w:val="single"/>
          </w:rPr>
          <w:t>3/8/2018</w:t>
        </w:r>
      </w:hyperlink>
    </w:p>
    <w:p w:rsidR="006F26C3" w:rsidRPr="006F26C3" w:rsidRDefault="006F26C3" w:rsidP="006F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F26C3" w:rsidRDefault="006F26C3" w:rsidP="006F26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26C3" w:rsidSect="006F26C3">
          <w:pgSz w:w="12240" w:h="15840" w:code="1"/>
          <w:pgMar w:top="1080" w:right="1440" w:bottom="1080" w:left="1440" w:header="720" w:footer="720" w:gutter="0"/>
          <w:pgNumType w:start="1"/>
          <w:cols w:space="720"/>
          <w:noEndnote/>
          <w:docGrid w:linePitch="360"/>
        </w:sectPr>
      </w:pPr>
    </w:p>
    <w:p w:rsidR="00F07106"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(A158, R169, H4654)</w:t>
      </w:r>
    </w:p>
    <w:p w:rsidR="00F07106" w:rsidRPr="008836A5"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7106" w:rsidRPr="006F26C3"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26C3">
        <w:rPr>
          <w:rFonts w:cs="Times New Roman"/>
          <w:b/>
          <w:color w:val="000000" w:themeColor="text1"/>
          <w:szCs w:val="36"/>
        </w:rPr>
        <w:t xml:space="preserve">AN ACT </w:t>
      </w:r>
      <w:r w:rsidRPr="006F26C3">
        <w:rPr>
          <w:rFonts w:cs="Times New Roman"/>
          <w:b/>
          <w:color w:val="000000" w:themeColor="text1"/>
          <w:u w:color="000000" w:themeColor="text1"/>
        </w:rPr>
        <w:t>TO AMEND SECTION 38</w:t>
      </w:r>
      <w:r w:rsidRPr="006F26C3">
        <w:rPr>
          <w:rFonts w:cs="Times New Roman"/>
          <w:b/>
          <w:color w:val="000000" w:themeColor="text1"/>
          <w:u w:color="000000" w:themeColor="text1"/>
        </w:rPr>
        <w:noBreakHyphen/>
        <w:t>43</w:t>
      </w:r>
      <w:r w:rsidRPr="006F26C3">
        <w:rPr>
          <w:rFonts w:cs="Times New Roman"/>
          <w:b/>
          <w:color w:val="000000" w:themeColor="text1"/>
          <w:u w:color="000000" w:themeColor="text1"/>
        </w:rPr>
        <w:noBreakHyphen/>
        <w:t>100, CODE OF LAWS OF SOUTH CAROLINA, 1976, RELATING TO LICENSING REQUIREMENTS FOR INDIVIDUAL AND AGENCY INSURANCE PRODUCERS, SO AS TO ESTABLISH CERTAIN CHARACTER REQUIREMENTS AND REQUIRE AN APPLICANT TO PROVIDE A COMPLETE SET OF FINGERPRINTS WITH THE APPLICATION, TO PROVIDE THAT FAILURE TO PROVIDE A COMPLETE SET OF FINGERPRINTS CONSTITUTES GROUNDS FOR DENIAL OF AN APPLICATION, AND TO PROVIDE EXCEPTIONS TO THE FINGERPRINTING REQUIREMENT UNDER CERTAIN CIRCUMSTANCES.</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8D2">
        <w:rPr>
          <w:rFonts w:cs="Times New Roman"/>
        </w:rPr>
        <w:t>Be it enacted by the General Assembly of the State of South Carolina:</w:t>
      </w:r>
    </w:p>
    <w:p w:rsidR="00F07106"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7106" w:rsidRPr="00200FB9"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Insurance producer license, character and fingerprint requirements</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SECTION</w:t>
      </w:r>
      <w:r w:rsidRPr="003C18D2">
        <w:rPr>
          <w:rFonts w:cs="Times New Roman"/>
          <w:color w:val="000000" w:themeColor="text1"/>
          <w:u w:color="000000" w:themeColor="text1"/>
        </w:rPr>
        <w:tab/>
        <w:t>1.</w:t>
      </w:r>
      <w:r w:rsidRPr="003C18D2">
        <w:rPr>
          <w:rFonts w:cs="Times New Roman"/>
          <w:color w:val="000000" w:themeColor="text1"/>
          <w:u w:color="000000" w:themeColor="text1"/>
        </w:rPr>
        <w:tab/>
        <w:t>Section 38</w:t>
      </w:r>
      <w:r>
        <w:rPr>
          <w:rFonts w:cs="Times New Roman"/>
          <w:color w:val="000000" w:themeColor="text1"/>
          <w:u w:color="000000" w:themeColor="text1"/>
        </w:rPr>
        <w:noBreakHyphen/>
      </w:r>
      <w:r w:rsidRPr="003C18D2">
        <w:rPr>
          <w:rFonts w:cs="Times New Roman"/>
          <w:color w:val="000000" w:themeColor="text1"/>
          <w:u w:color="000000" w:themeColor="text1"/>
        </w:rPr>
        <w:t>43</w:t>
      </w:r>
      <w:r>
        <w:rPr>
          <w:rFonts w:cs="Times New Roman"/>
          <w:color w:val="000000" w:themeColor="text1"/>
          <w:u w:color="000000" w:themeColor="text1"/>
        </w:rPr>
        <w:noBreakHyphen/>
      </w:r>
      <w:r w:rsidRPr="003C18D2">
        <w:rPr>
          <w:rFonts w:cs="Times New Roman"/>
          <w:color w:val="000000" w:themeColor="text1"/>
          <w:u w:color="000000" w:themeColor="text1"/>
        </w:rPr>
        <w:t xml:space="preserve">100 of the 1976 Code is amended to read: </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“Section 38</w:t>
      </w:r>
      <w:r>
        <w:rPr>
          <w:rFonts w:cs="Times New Roman"/>
          <w:color w:val="000000" w:themeColor="text1"/>
          <w:u w:color="000000" w:themeColor="text1"/>
        </w:rPr>
        <w:noBreakHyphen/>
      </w:r>
      <w:r w:rsidRPr="003C18D2">
        <w:rPr>
          <w:rFonts w:cs="Times New Roman"/>
          <w:color w:val="000000" w:themeColor="text1"/>
          <w:u w:color="000000" w:themeColor="text1"/>
        </w:rPr>
        <w:t>43</w:t>
      </w:r>
      <w:r>
        <w:rPr>
          <w:rFonts w:cs="Times New Roman"/>
          <w:color w:val="000000" w:themeColor="text1"/>
          <w:u w:color="000000" w:themeColor="text1"/>
        </w:rPr>
        <w:noBreakHyphen/>
      </w:r>
      <w:r w:rsidRPr="003C18D2">
        <w:rPr>
          <w:rFonts w:cs="Times New Roman"/>
          <w:color w:val="000000" w:themeColor="text1"/>
          <w:u w:color="000000" w:themeColor="text1"/>
        </w:rPr>
        <w:t>100.</w:t>
      </w:r>
      <w:r w:rsidRPr="003C18D2">
        <w:rPr>
          <w:rFonts w:cs="Times New Roman"/>
          <w:color w:val="000000" w:themeColor="text1"/>
          <w:u w:color="000000" w:themeColor="text1"/>
        </w:rPr>
        <w:tab/>
        <w:t>(A)</w:t>
      </w:r>
      <w:r w:rsidRPr="003C18D2">
        <w:rPr>
          <w:rFonts w:cs="Times New Roman"/>
          <w:color w:val="000000" w:themeColor="text1"/>
          <w:u w:color="000000" w:themeColor="text1"/>
        </w:rPr>
        <w:tab/>
        <w:t>Business may not be done by the applicant except following issuance of a producer’s license, and the license may not be issued until the director or his designee has determined that the applicant is qualified as an insurance producer, generally, and is particularly qualified for the line of business in which the applicant 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 questions concerning credit life, credit accident and health insurance, or credit property, or any combination of these.</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(B)</w:t>
      </w:r>
      <w:r w:rsidRPr="003C18D2">
        <w:rPr>
          <w:rFonts w:cs="Times New Roman"/>
          <w:color w:val="000000" w:themeColor="text1"/>
          <w:u w:color="000000" w:themeColor="text1"/>
        </w:rPr>
        <w:tab/>
        <w:t xml:space="preserve">A resident individual applying for an insurance producer license shall pass an examination. The examination must test the knowledge of the individual concerning the lines of authority for which application is </w:t>
      </w:r>
      <w:r w:rsidRPr="003C18D2">
        <w:rPr>
          <w:rFonts w:cs="Times New Roman"/>
          <w:color w:val="000000" w:themeColor="text1"/>
          <w:u w:color="000000" w:themeColor="text1"/>
        </w:rPr>
        <w:lastRenderedPageBreak/>
        <w:t>made, the duties and responsibilities of an insurance producer, and the insurance laws and regulations of this State. The examination required by this section must be developed and conducted under regulations prescribed by the director or his designee.</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(C)</w:t>
      </w:r>
      <w:r w:rsidRPr="003C18D2">
        <w:rPr>
          <w:rFonts w:cs="Times New Roman"/>
          <w:color w:val="000000" w:themeColor="text1"/>
          <w:u w:color="000000" w:themeColor="text1"/>
        </w:rPr>
        <w:tab/>
        <w:t>The director or his designee may make arrangements, including contracting with an outside testing service, for administering licensing examinations.</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(D)</w:t>
      </w:r>
      <w:r w:rsidRPr="003C18D2">
        <w:rPr>
          <w:rFonts w:cs="Times New Roman"/>
          <w:color w:val="000000" w:themeColor="text1"/>
          <w:u w:color="000000" w:themeColor="text1"/>
        </w:rPr>
        <w:tab/>
        <w:t>Each individual applying for a licensing examination shall remit a nonrefundable examination fee as required by the licensing exam administrator.</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(E)</w:t>
      </w:r>
      <w:r w:rsidRPr="003C18D2">
        <w:rPr>
          <w:rFonts w:cs="Times New Roman"/>
          <w:color w:val="000000" w:themeColor="text1"/>
          <w:u w:color="000000" w:themeColor="text1"/>
        </w:rPr>
        <w:tab/>
        <w:t>An individual who fails to appear for the examination as scheduled or fails to pass the examination, shall reapply for an examination and remit all required fees and forms before being rescheduled for another examination.</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(F)</w:t>
      </w:r>
      <w:r w:rsidRPr="003C18D2">
        <w:rPr>
          <w:rFonts w:cs="Times New Roman"/>
          <w:color w:val="000000" w:themeColor="text1"/>
          <w:u w:color="000000" w:themeColor="text1"/>
        </w:rPr>
        <w:tab/>
        <w:t>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(1)</w:t>
      </w:r>
      <w:r w:rsidRPr="003C18D2">
        <w:rPr>
          <w:rFonts w:cs="Times New Roman"/>
          <w:color w:val="000000" w:themeColor="text1"/>
          <w:u w:color="000000" w:themeColor="text1"/>
        </w:rPr>
        <w:tab/>
        <w:t>is at least eighteen years of age;</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snapToGrid w:val="0"/>
        </w:rPr>
        <w:tab/>
      </w:r>
      <w:r w:rsidRPr="003C18D2">
        <w:rPr>
          <w:rFonts w:cs="Times New Roman"/>
          <w:snapToGrid w:val="0"/>
        </w:rPr>
        <w:tab/>
      </w:r>
      <w:r w:rsidRPr="003C18D2">
        <w:rPr>
          <w:rFonts w:cs="Times New Roman"/>
        </w:rPr>
        <w:t>(2)</w:t>
      </w:r>
      <w:r>
        <w:rPr>
          <w:rFonts w:cs="Times New Roman"/>
        </w:rPr>
        <w:tab/>
      </w:r>
      <w:r w:rsidRPr="003C18D2">
        <w:rPr>
          <w:rFonts w:cs="Times New Roman"/>
        </w:rPr>
        <w:t>is a person of good moral character and has not been convicted of a felony or any act within the last ten years that is a ground for denial, suspension, or revocation as provided for in Section 38</w:t>
      </w:r>
      <w:r>
        <w:rPr>
          <w:rFonts w:cs="Times New Roman"/>
        </w:rPr>
        <w:noBreakHyphen/>
      </w:r>
      <w:r w:rsidRPr="003C18D2">
        <w:rPr>
          <w:rFonts w:cs="Times New Roman"/>
        </w:rPr>
        <w:t>43</w:t>
      </w:r>
      <w:r>
        <w:rPr>
          <w:rFonts w:cs="Times New Roman"/>
        </w:rPr>
        <w:noBreakHyphen/>
      </w:r>
      <w:r w:rsidRPr="003C18D2">
        <w:rPr>
          <w:rFonts w:cs="Times New Roman"/>
        </w:rPr>
        <w:t>130 or been convicted of a misdemeanor involving dishonesty, breach of trust, or other financial</w:t>
      </w:r>
      <w:r>
        <w:rPr>
          <w:rFonts w:cs="Times New Roman"/>
        </w:rPr>
        <w:noBreakHyphen/>
      </w:r>
      <w:r w:rsidRPr="003C18D2">
        <w:rPr>
          <w:rFonts w:cs="Times New Roman"/>
        </w:rPr>
        <w:t xml:space="preserve"> or insurance</w:t>
      </w:r>
      <w:r>
        <w:rPr>
          <w:rFonts w:cs="Times New Roman"/>
        </w:rPr>
        <w:noBreakHyphen/>
      </w:r>
      <w:r w:rsidRPr="003C18D2">
        <w:rPr>
          <w:rFonts w:cs="Times New Roman"/>
        </w:rPr>
        <w:t>related crime within five years;</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(3)</w:t>
      </w:r>
      <w:r w:rsidRPr="003C18D2">
        <w:rPr>
          <w:rFonts w:cs="Times New Roman"/>
          <w:color w:val="000000" w:themeColor="text1"/>
          <w:u w:color="000000" w:themeColor="text1"/>
        </w:rPr>
        <w:tab/>
        <w:t>has paid the fees provided for in Section 38</w:t>
      </w:r>
      <w:r>
        <w:rPr>
          <w:rFonts w:cs="Times New Roman"/>
          <w:color w:val="000000" w:themeColor="text1"/>
          <w:u w:color="000000" w:themeColor="text1"/>
        </w:rPr>
        <w:noBreakHyphen/>
      </w:r>
      <w:r w:rsidRPr="003C18D2">
        <w:rPr>
          <w:rFonts w:cs="Times New Roman"/>
          <w:color w:val="000000" w:themeColor="text1"/>
          <w:u w:color="000000" w:themeColor="text1"/>
        </w:rPr>
        <w:t>43</w:t>
      </w:r>
      <w:r>
        <w:rPr>
          <w:rFonts w:cs="Times New Roman"/>
          <w:color w:val="000000" w:themeColor="text1"/>
          <w:u w:color="000000" w:themeColor="text1"/>
        </w:rPr>
        <w:noBreakHyphen/>
      </w:r>
      <w:r w:rsidRPr="003C18D2">
        <w:rPr>
          <w:rFonts w:cs="Times New Roman"/>
          <w:color w:val="000000" w:themeColor="text1"/>
          <w:u w:color="000000" w:themeColor="text1"/>
        </w:rPr>
        <w:t>80; and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(4)</w:t>
      </w:r>
      <w:r w:rsidRPr="003C18D2">
        <w:rPr>
          <w:rFonts w:cs="Times New Roman"/>
          <w:color w:val="000000" w:themeColor="text1"/>
          <w:u w:color="000000" w:themeColor="text1"/>
        </w:rPr>
        <w:tab/>
        <w:t>has successfully passed the examination or examinations for the line or lines of insurance for which the person has applied.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(5)</w:t>
      </w:r>
      <w:r w:rsidRPr="003C18D2">
        <w:rPr>
          <w:rFonts w:cs="Times New Roman"/>
          <w:color w:val="000000" w:themeColor="text1"/>
          <w:u w:color="000000" w:themeColor="text1"/>
        </w:rPr>
        <w:tab/>
        <w:t>Before a license is issued to an applicant or is renewed permitting him to act as a resident producer, the applicant shall comply with the licensing and renewal requirements set forth in this section and by regulation. In addition to those licensing requirements, the applicant shall:</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r>
      <w:r w:rsidRPr="003C18D2">
        <w:rPr>
          <w:rFonts w:cs="Times New Roman"/>
          <w:color w:val="000000" w:themeColor="text1"/>
          <w:u w:color="000000" w:themeColor="text1"/>
        </w:rPr>
        <w:tab/>
        <w:t>(a)</w:t>
      </w:r>
      <w:r w:rsidRPr="003C18D2">
        <w:rPr>
          <w:rFonts w:cs="Times New Roman"/>
          <w:color w:val="000000" w:themeColor="text1"/>
          <w:u w:color="000000" w:themeColor="text1"/>
        </w:rPr>
        <w:tab/>
        <w:t>furnish a complete set of his fingerprints and the required fees and information in accordance with this subsection to the director or his designee. Failure to furnish the complete set of fingerprints and required fees constitutes grounds for denial of an application for licensure. However, the director may waive the fingerprinting requirements if it is impossible for the applicant to provide fingerprints due to a medically certified physical injury; and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lastRenderedPageBreak/>
        <w:tab/>
      </w:r>
      <w:r w:rsidRPr="003C18D2">
        <w:rPr>
          <w:rFonts w:cs="Times New Roman"/>
          <w:color w:val="000000" w:themeColor="text1"/>
          <w:u w:color="000000" w:themeColor="text1"/>
        </w:rPr>
        <w:tab/>
      </w:r>
      <w:r w:rsidRPr="003C18D2">
        <w:rPr>
          <w:rFonts w:cs="Times New Roman"/>
          <w:color w:val="000000" w:themeColor="text1"/>
          <w:u w:color="000000" w:themeColor="text1"/>
        </w:rPr>
        <w:tab/>
        <w:t>(b)</w:t>
      </w:r>
      <w:r w:rsidRPr="003C18D2">
        <w:rPr>
          <w:rFonts w:cs="Times New Roman"/>
          <w:color w:val="000000" w:themeColor="text1"/>
          <w:u w:color="000000" w:themeColor="text1"/>
        </w:rPr>
        <w:tab/>
        <w:t>undergo a state criminal records check, supported by his fingerprints, by the South Carolina Law Enforcement Division (SLED) and a national criminal records check, supported by his fingerprints, by the Federal Bureau of Investigation (FBI). The results of these criminal record</w:t>
      </w:r>
      <w:r>
        <w:rPr>
          <w:rFonts w:cs="Times New Roman"/>
          <w:color w:val="000000" w:themeColor="text1"/>
          <w:u w:color="000000" w:themeColor="text1"/>
        </w:rPr>
        <w:t>s</w:t>
      </w:r>
      <w:r w:rsidRPr="003C18D2">
        <w:rPr>
          <w:rFonts w:cs="Times New Roman"/>
          <w:color w:val="000000" w:themeColor="text1"/>
          <w:u w:color="000000" w:themeColor="text1"/>
        </w:rPr>
        <w:t xml:space="preserve">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applicant’s fingerprints must be certified by a law enforcement officer authorized by SLED.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(G)(1)</w:t>
      </w:r>
      <w:r w:rsidRPr="003C18D2">
        <w:rPr>
          <w:rFonts w:cs="Times New Roman"/>
          <w:color w:val="000000" w:themeColor="text1"/>
          <w:u w:color="000000" w:themeColor="text1"/>
        </w:rPr>
        <w:tab/>
        <w:t xml:space="preserve">A licensed insurance producer seeking to renew their current resident insurance producer license is exempt from the fingerprinting requirement set forth in subsection (F)(5) if the applicant complies with the requirements of this section and: </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r>
      <w:r w:rsidRPr="003C18D2">
        <w:rPr>
          <w:rFonts w:cs="Times New Roman"/>
          <w:color w:val="000000" w:themeColor="text1"/>
          <w:u w:color="000000" w:themeColor="text1"/>
        </w:rPr>
        <w:tab/>
        <w:t>(a)</w:t>
      </w:r>
      <w:r w:rsidRPr="003C18D2">
        <w:rPr>
          <w:rFonts w:cs="Times New Roman"/>
          <w:color w:val="000000" w:themeColor="text1"/>
          <w:u w:color="000000" w:themeColor="text1"/>
        </w:rPr>
        <w:tab/>
        <w:t>has previously provided and has on file with the appropriate agency of the State an accessible, current, complete, and legible set of fingerprints submitted as part of an earlier application for a license or for renewal of a license which was either approved or granted; and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r>
      <w:r w:rsidRPr="003C18D2">
        <w:rPr>
          <w:rFonts w:cs="Times New Roman"/>
          <w:color w:val="000000" w:themeColor="text1"/>
          <w:u w:color="000000" w:themeColor="text1"/>
        </w:rPr>
        <w:tab/>
        <w:t>(b)</w:t>
      </w:r>
      <w:r w:rsidRPr="003C18D2">
        <w:rPr>
          <w:rFonts w:cs="Times New Roman"/>
          <w:color w:val="000000" w:themeColor="text1"/>
          <w:u w:color="000000" w:themeColor="text1"/>
        </w:rPr>
        <w:tab/>
        <w:t>all licenses issued to the applicant by the department are in good standing on the date of the subsequent application with all licenses.</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(2)</w:t>
      </w:r>
      <w:r w:rsidRPr="003C18D2">
        <w:rPr>
          <w:rFonts w:cs="Times New Roman"/>
          <w:color w:val="000000" w:themeColor="text1"/>
          <w:u w:color="000000" w:themeColor="text1"/>
        </w:rPr>
        <w:tab/>
        <w:t>A resident producer who has allowed the license to lapse for failure to comply with the continuing education requirements set forth in Section 38</w:t>
      </w:r>
      <w:r>
        <w:rPr>
          <w:rFonts w:cs="Times New Roman"/>
          <w:color w:val="000000" w:themeColor="text1"/>
          <w:u w:color="000000" w:themeColor="text1"/>
        </w:rPr>
        <w:noBreakHyphen/>
      </w:r>
      <w:r w:rsidRPr="003C18D2">
        <w:rPr>
          <w:rFonts w:cs="Times New Roman"/>
          <w:color w:val="000000" w:themeColor="text1"/>
          <w:u w:color="000000" w:themeColor="text1"/>
        </w:rPr>
        <w:t>43</w:t>
      </w:r>
      <w:r>
        <w:rPr>
          <w:rFonts w:cs="Times New Roman"/>
          <w:color w:val="000000" w:themeColor="text1"/>
          <w:u w:color="000000" w:themeColor="text1"/>
        </w:rPr>
        <w:noBreakHyphen/>
      </w:r>
      <w:r w:rsidRPr="003C18D2">
        <w:rPr>
          <w:rFonts w:cs="Times New Roman"/>
          <w:color w:val="000000" w:themeColor="text1"/>
          <w:u w:color="000000" w:themeColor="text1"/>
        </w:rPr>
        <w:t xml:space="preserve">106 is not required to submit new fingerprint records if the applicant has: </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r>
      <w:r w:rsidRPr="003C18D2">
        <w:rPr>
          <w:rFonts w:cs="Times New Roman"/>
          <w:color w:val="000000" w:themeColor="text1"/>
          <w:u w:color="000000" w:themeColor="text1"/>
        </w:rPr>
        <w:tab/>
        <w:t>(a)</w:t>
      </w:r>
      <w:r w:rsidRPr="003C18D2">
        <w:rPr>
          <w:rFonts w:cs="Times New Roman"/>
          <w:color w:val="000000" w:themeColor="text1"/>
          <w:u w:color="000000" w:themeColor="text1"/>
        </w:rPr>
        <w:tab/>
        <w:t>applied to reinstate the same license within six months from the compliance date;</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r>
      <w:r w:rsidRPr="003C18D2">
        <w:rPr>
          <w:rFonts w:cs="Times New Roman"/>
          <w:color w:val="000000" w:themeColor="text1"/>
          <w:u w:color="000000" w:themeColor="text1"/>
        </w:rPr>
        <w:tab/>
        <w:t>(b)</w:t>
      </w:r>
      <w:r w:rsidRPr="003C18D2">
        <w:rPr>
          <w:rFonts w:cs="Times New Roman"/>
          <w:color w:val="000000" w:themeColor="text1"/>
          <w:u w:color="000000" w:themeColor="text1"/>
        </w:rPr>
        <w:tab/>
        <w:t>met the continuing insurance education requirements; and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r>
      <w:r w:rsidRPr="003C18D2">
        <w:rPr>
          <w:rFonts w:cs="Times New Roman"/>
          <w:color w:val="000000" w:themeColor="text1"/>
          <w:u w:color="000000" w:themeColor="text1"/>
        </w:rPr>
        <w:tab/>
        <w:t>(c)</w:t>
      </w:r>
      <w:r w:rsidRPr="003C18D2">
        <w:rPr>
          <w:rFonts w:cs="Times New Roman"/>
          <w:color w:val="000000" w:themeColor="text1"/>
          <w:u w:color="000000" w:themeColor="text1"/>
        </w:rPr>
        <w:tab/>
        <w:t>paid a penalty set forth by the director or his designee in full.</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(3)</w:t>
      </w:r>
      <w:r w:rsidRPr="003C18D2">
        <w:rPr>
          <w:rFonts w:cs="Times New Roman"/>
          <w:color w:val="000000" w:themeColor="text1"/>
          <w:u w:color="000000" w:themeColor="text1"/>
        </w:rPr>
        <w:tab/>
        <w:t xml:space="preserve">The director may require an applicant to furnish a complete set of fingerprints and payment of all applicable fingerprint processing fees for licensure or renewal of a license if the previously submitted set of fingerprints is no longer usable for obtaining a criminal history check for any reason. </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(H)</w:t>
      </w:r>
      <w:r w:rsidRPr="003C18D2">
        <w:rPr>
          <w:rFonts w:cs="Times New Roman"/>
          <w:color w:val="000000" w:themeColor="text1"/>
          <w:u w:color="000000" w:themeColor="text1"/>
        </w:rPr>
        <w:tab/>
        <w:t>The individual’s producer license must contain the licensee’s name, address, personal identification number, the date of issuance, the line or lines of authority, and other information the director or his designee considers necessary.</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(I)</w:t>
      </w:r>
      <w:r w:rsidRPr="003C18D2">
        <w:rPr>
          <w:rFonts w:cs="Times New Roman"/>
          <w:color w:val="000000" w:themeColor="text1"/>
          <w:u w:color="000000" w:themeColor="text1"/>
        </w:rPr>
        <w:tab/>
        <w:t>An agency acting as an insurance producer is required to obtain an insurance producer license. Application must be made using the Uniform Business Entity Application. Before approving the application, the director or his designee shall find that:</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r>
      <w:r w:rsidRPr="003C18D2">
        <w:rPr>
          <w:rFonts w:cs="Times New Roman"/>
          <w:color w:val="000000" w:themeColor="text1"/>
          <w:u w:color="000000" w:themeColor="text1"/>
        </w:rPr>
        <w:tab/>
        <w:t>(1)</w:t>
      </w:r>
      <w:r w:rsidRPr="003C18D2">
        <w:rPr>
          <w:rFonts w:cs="Times New Roman"/>
          <w:color w:val="000000" w:themeColor="text1"/>
          <w:u w:color="000000" w:themeColor="text1"/>
        </w:rPr>
        <w:tab/>
        <w:t>the agency has paid the fees as prescribed by Section 38</w:t>
      </w:r>
      <w:r>
        <w:rPr>
          <w:rFonts w:cs="Times New Roman"/>
          <w:color w:val="000000" w:themeColor="text1"/>
          <w:u w:color="000000" w:themeColor="text1"/>
        </w:rPr>
        <w:noBreakHyphen/>
      </w:r>
      <w:r w:rsidRPr="003C18D2">
        <w:rPr>
          <w:rFonts w:cs="Times New Roman"/>
          <w:color w:val="000000" w:themeColor="text1"/>
          <w:u w:color="000000" w:themeColor="text1"/>
        </w:rPr>
        <w:t>43</w:t>
      </w:r>
      <w:r>
        <w:rPr>
          <w:rFonts w:cs="Times New Roman"/>
          <w:color w:val="000000" w:themeColor="text1"/>
          <w:u w:color="000000" w:themeColor="text1"/>
        </w:rPr>
        <w:noBreakHyphen/>
      </w:r>
      <w:r w:rsidRPr="003C18D2">
        <w:rPr>
          <w:rFonts w:cs="Times New Roman"/>
          <w:color w:val="000000" w:themeColor="text1"/>
          <w:u w:color="000000" w:themeColor="text1"/>
        </w:rPr>
        <w:t>80; and</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lastRenderedPageBreak/>
        <w:tab/>
      </w:r>
      <w:r w:rsidRPr="003C18D2">
        <w:rPr>
          <w:rFonts w:cs="Times New Roman"/>
          <w:color w:val="000000" w:themeColor="text1"/>
          <w:u w:color="000000" w:themeColor="text1"/>
        </w:rPr>
        <w:tab/>
        <w:t>(2)</w:t>
      </w:r>
      <w:r w:rsidRPr="003C18D2">
        <w:rPr>
          <w:rFonts w:cs="Times New Roman"/>
          <w:color w:val="000000" w:themeColor="text1"/>
          <w:u w:color="000000" w:themeColor="text1"/>
        </w:rPr>
        <w:tab/>
        <w:t>the agency has designated a licensed producer or other person responsible for the business entity’s compliance with the insurance laws, rules, and regulations of this State.</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(J)</w:t>
      </w:r>
      <w:r w:rsidRPr="003C18D2">
        <w:rPr>
          <w:rFonts w:cs="Times New Roman"/>
          <w:color w:val="000000" w:themeColor="text1"/>
          <w:u w:color="000000" w:themeColor="text1"/>
        </w:rPr>
        <w:tab/>
        <w:t>The director or his designee may require any documents reasonably necessary to verify the information contained in an application.</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(K)</w:t>
      </w:r>
      <w:r w:rsidRPr="003C18D2">
        <w:rPr>
          <w:rFonts w:cs="Times New Roman"/>
          <w:color w:val="000000" w:themeColor="text1"/>
          <w:u w:color="000000" w:themeColor="text1"/>
        </w:rPr>
        <w:tab/>
        <w:t>The agency’s license must contain the licensee’s name, address, personal identification number, the date of issuance, and other information the director or his designee considers necessary.</w:t>
      </w:r>
    </w:p>
    <w:p w:rsidR="00F07106"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C18D2">
        <w:rPr>
          <w:rFonts w:cs="Times New Roman"/>
          <w:color w:val="000000" w:themeColor="text1"/>
          <w:u w:color="000000" w:themeColor="text1"/>
        </w:rPr>
        <w:tab/>
        <w:t>(L)</w:t>
      </w:r>
      <w:r w:rsidRPr="003C18D2">
        <w:rPr>
          <w:rFonts w:cs="Times New Roman"/>
          <w:color w:val="000000" w:themeColor="text1"/>
          <w:u w:color="000000" w:themeColor="text1"/>
        </w:rPr>
        <w:tab/>
        <w:t>Each insurer that sells, solicits, or negotiates any form of credit insurance shall provide to each individual whose duties include selling, soliciting, or negotiating credit insurance, a program of instruction that has been filed with the director or his designee.”</w:t>
      </w:r>
    </w:p>
    <w:p w:rsidR="00F07106"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106" w:rsidRPr="00200FB9"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106" w:rsidRPr="003C18D2"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C18D2">
        <w:rPr>
          <w:rFonts w:cs="Times New Roman"/>
          <w:color w:val="000000" w:themeColor="text1"/>
          <w:u w:color="000000" w:themeColor="text1"/>
        </w:rPr>
        <w:t>SECTION</w:t>
      </w:r>
      <w:r w:rsidRPr="003C18D2">
        <w:rPr>
          <w:rFonts w:cs="Times New Roman"/>
          <w:color w:val="000000" w:themeColor="text1"/>
          <w:u w:color="000000" w:themeColor="text1"/>
        </w:rPr>
        <w:tab/>
        <w:t>2</w:t>
      </w:r>
      <w:r w:rsidRPr="003C18D2">
        <w:rPr>
          <w:rFonts w:cs="Times New Roman"/>
        </w:rPr>
        <w:t>.</w:t>
      </w:r>
      <w:r w:rsidRPr="003C18D2">
        <w:rPr>
          <w:rFonts w:cs="Times New Roman"/>
        </w:rPr>
        <w:tab/>
        <w:t>This act takes effect upon approval by the Governor.</w:t>
      </w:r>
    </w:p>
    <w:p w:rsidR="00F07106"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07106" w:rsidRDefault="00F07106"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F07106" w:rsidRDefault="00F07106" w:rsidP="00F07106">
      <w:pPr>
        <w:jc w:val="both"/>
        <w:rPr>
          <w:color w:val="000000" w:themeColor="text1"/>
        </w:rPr>
      </w:pPr>
    </w:p>
    <w:p w:rsidR="00F07106" w:rsidRDefault="00F07106" w:rsidP="00F07106">
      <w:pPr>
        <w:jc w:val="both"/>
        <w:rPr>
          <w:color w:val="000000" w:themeColor="text1"/>
        </w:rPr>
      </w:pPr>
      <w:r>
        <w:rPr>
          <w:color w:val="000000" w:themeColor="text1"/>
        </w:rPr>
        <w:t>Approved the 17</w:t>
      </w:r>
      <w:r w:rsidRPr="00715965">
        <w:rPr>
          <w:color w:val="000000" w:themeColor="text1"/>
          <w:vertAlign w:val="superscript"/>
        </w:rPr>
        <w:t>th</w:t>
      </w:r>
      <w:r>
        <w:rPr>
          <w:color w:val="000000" w:themeColor="text1"/>
        </w:rPr>
        <w:t xml:space="preserve"> day of April, 2018. </w:t>
      </w:r>
    </w:p>
    <w:p w:rsidR="00F07106" w:rsidRDefault="00F07106" w:rsidP="00F07106">
      <w:pPr>
        <w:jc w:val="center"/>
        <w:rPr>
          <w:color w:val="000000" w:themeColor="text1"/>
        </w:rPr>
      </w:pPr>
    </w:p>
    <w:p w:rsidR="00F07106" w:rsidRDefault="00F07106" w:rsidP="00F07106">
      <w:pPr>
        <w:jc w:val="center"/>
        <w:rPr>
          <w:color w:val="000000" w:themeColor="text1"/>
        </w:rPr>
      </w:pPr>
      <w:r>
        <w:rPr>
          <w:color w:val="000000" w:themeColor="text1"/>
        </w:rPr>
        <w:t>__________</w:t>
      </w:r>
    </w:p>
    <w:p w:rsidR="006F26C3" w:rsidRPr="00FB7035" w:rsidRDefault="006F26C3" w:rsidP="00F071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F26C3" w:rsidRPr="00FB7035" w:rsidSect="006F26C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815" w:rsidRDefault="003A2815" w:rsidP="007D5FAC">
      <w:r>
        <w:separator/>
      </w:r>
    </w:p>
  </w:endnote>
  <w:endnote w:type="continuationSeparator" w:id="0">
    <w:p w:rsidR="003A2815" w:rsidRDefault="003A28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3" w:rsidRPr="006F26C3" w:rsidRDefault="006F26C3" w:rsidP="006F26C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710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26C3" w:rsidRDefault="006F26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815" w:rsidRDefault="003A2815" w:rsidP="007D5FAC">
      <w:r>
        <w:separator/>
      </w:r>
    </w:p>
  </w:footnote>
  <w:footnote w:type="continuationSeparator" w:id="0">
    <w:p w:rsidR="003A2815" w:rsidRDefault="003A28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54"/>
    <w:docVar w:name="ActSecretary" w:val="Downey"/>
    <w:docVar w:name="ActSIdno" w:val="(170)  4654CZ18"/>
    <w:docVar w:name="clipname" w:val="4654CZ18"/>
    <w:docVar w:name="dvBillNumber" w:val="4654"/>
    <w:docVar w:name="dvBillNumberPrefix" w:val="H"/>
    <w:docVar w:name="dvOriginalBody" w:val="House"/>
    <w:docVar w:name="HOUSEACTFULLPATH" w:val="L:\COUNCIL\ACTS\4654CZ18.DOCX"/>
    <w:docVar w:name="OrigHOUSEBillNo" w:val="4654"/>
    <w:docVar w:name="WhatActtype" w:val="AN ACT"/>
  </w:docVars>
  <w:rsids>
    <w:rsidRoot w:val="003A281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783E"/>
    <w:rsid w:val="001237B9"/>
    <w:rsid w:val="00131CE5"/>
    <w:rsid w:val="00135DDF"/>
    <w:rsid w:val="00136AA0"/>
    <w:rsid w:val="00141278"/>
    <w:rsid w:val="0014525A"/>
    <w:rsid w:val="001626DB"/>
    <w:rsid w:val="00170F30"/>
    <w:rsid w:val="00172771"/>
    <w:rsid w:val="001747A9"/>
    <w:rsid w:val="001750EA"/>
    <w:rsid w:val="001754BB"/>
    <w:rsid w:val="0018353C"/>
    <w:rsid w:val="001907FC"/>
    <w:rsid w:val="00195F4E"/>
    <w:rsid w:val="001A0172"/>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0FB9"/>
    <w:rsid w:val="00204492"/>
    <w:rsid w:val="002068E6"/>
    <w:rsid w:val="00206EF4"/>
    <w:rsid w:val="00206FB0"/>
    <w:rsid w:val="002077B3"/>
    <w:rsid w:val="00212CD6"/>
    <w:rsid w:val="00215235"/>
    <w:rsid w:val="0022328A"/>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4DA0"/>
    <w:rsid w:val="00296040"/>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2815"/>
    <w:rsid w:val="003A6D96"/>
    <w:rsid w:val="003A7517"/>
    <w:rsid w:val="003B105A"/>
    <w:rsid w:val="003B1A01"/>
    <w:rsid w:val="003B2E6E"/>
    <w:rsid w:val="003B355D"/>
    <w:rsid w:val="003B6BB7"/>
    <w:rsid w:val="003B746E"/>
    <w:rsid w:val="003C030C"/>
    <w:rsid w:val="003D2A73"/>
    <w:rsid w:val="003D5D65"/>
    <w:rsid w:val="003E2FE8"/>
    <w:rsid w:val="003F6C1A"/>
    <w:rsid w:val="00400828"/>
    <w:rsid w:val="00412B47"/>
    <w:rsid w:val="00412C45"/>
    <w:rsid w:val="00415376"/>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24E"/>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0244"/>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AE6"/>
    <w:rsid w:val="006A5B40"/>
    <w:rsid w:val="006A65C8"/>
    <w:rsid w:val="006A6F1D"/>
    <w:rsid w:val="006B263A"/>
    <w:rsid w:val="006B4FA6"/>
    <w:rsid w:val="006C2574"/>
    <w:rsid w:val="006C7535"/>
    <w:rsid w:val="006C7D00"/>
    <w:rsid w:val="006D1F87"/>
    <w:rsid w:val="006E038F"/>
    <w:rsid w:val="006F22C0"/>
    <w:rsid w:val="006F26C3"/>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4020"/>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5E18"/>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257F"/>
    <w:rsid w:val="00A96A62"/>
    <w:rsid w:val="00A9741D"/>
    <w:rsid w:val="00A9744F"/>
    <w:rsid w:val="00AA3A5F"/>
    <w:rsid w:val="00AA3E02"/>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0AD7"/>
    <w:rsid w:val="00B4797F"/>
    <w:rsid w:val="00B516BA"/>
    <w:rsid w:val="00B520A2"/>
    <w:rsid w:val="00B60515"/>
    <w:rsid w:val="00B62CAB"/>
    <w:rsid w:val="00B678FA"/>
    <w:rsid w:val="00B72ED3"/>
    <w:rsid w:val="00B73571"/>
    <w:rsid w:val="00B77EEB"/>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39D5"/>
    <w:rsid w:val="00E60357"/>
    <w:rsid w:val="00E61B4C"/>
    <w:rsid w:val="00E71D4E"/>
    <w:rsid w:val="00E757F4"/>
    <w:rsid w:val="00E9303D"/>
    <w:rsid w:val="00EA2A3A"/>
    <w:rsid w:val="00EA77B0"/>
    <w:rsid w:val="00EB18D7"/>
    <w:rsid w:val="00EB223A"/>
    <w:rsid w:val="00EC47CE"/>
    <w:rsid w:val="00EC4D8C"/>
    <w:rsid w:val="00ED0B51"/>
    <w:rsid w:val="00ED1395"/>
    <w:rsid w:val="00ED4871"/>
    <w:rsid w:val="00EE2F67"/>
    <w:rsid w:val="00EE663F"/>
    <w:rsid w:val="00EF0391"/>
    <w:rsid w:val="00EF0E4A"/>
    <w:rsid w:val="00EF3301"/>
    <w:rsid w:val="00EF6923"/>
    <w:rsid w:val="00F029C0"/>
    <w:rsid w:val="00F06DF9"/>
    <w:rsid w:val="00F07106"/>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973"/>
    <w:rsid w:val="00F86999"/>
    <w:rsid w:val="00FA7E14"/>
    <w:rsid w:val="00FB1A6A"/>
    <w:rsid w:val="00FB7035"/>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C39A60C-A837-40F4-AC01-44EA9A119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F26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539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9D5"/>
    <w:rPr>
      <w:rFonts w:ascii="Segoe UI" w:hAnsi="Segoe UI" w:cs="Segoe UI"/>
      <w:sz w:val="18"/>
      <w:szCs w:val="18"/>
    </w:rPr>
  </w:style>
  <w:style w:type="table" w:styleId="TableGrid">
    <w:name w:val="Table Grid"/>
    <w:basedOn w:val="TableNormal"/>
    <w:uiPriority w:val="59"/>
    <w:rsid w:val="00B40AD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F26C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77E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3.docx" TargetMode="External"/><Relationship Id="rId13" Type="http://schemas.openxmlformats.org/officeDocument/2006/relationships/hyperlink" Target="file:///h:\sj\20180207.docx" TargetMode="External"/><Relationship Id="rId18" Type="http://schemas.openxmlformats.org/officeDocument/2006/relationships/hyperlink" Target="file:///h:\sj\20180320.docx" TargetMode="External"/><Relationship Id="rId26" Type="http://schemas.openxmlformats.org/officeDocument/2006/relationships/hyperlink" Target="file:///p:\pprever\2017-18\4654_20180307.docx" TargetMode="External"/><Relationship Id="rId3" Type="http://schemas.openxmlformats.org/officeDocument/2006/relationships/settings" Target="settings.xml"/><Relationship Id="rId21" Type="http://schemas.openxmlformats.org/officeDocument/2006/relationships/hyperlink" Target="file:///h:\hj\20180404.docx" TargetMode="External"/><Relationship Id="rId7" Type="http://schemas.openxmlformats.org/officeDocument/2006/relationships/hyperlink" Target="file:///h:\hj\20180123.docx" TargetMode="External"/><Relationship Id="rId12" Type="http://schemas.openxmlformats.org/officeDocument/2006/relationships/hyperlink" Target="file:///h:\hj\20180207.docx" TargetMode="External"/><Relationship Id="rId17" Type="http://schemas.openxmlformats.org/officeDocument/2006/relationships/hyperlink" Target="file:///h:\sj\20180320.docx" TargetMode="External"/><Relationship Id="rId25" Type="http://schemas.openxmlformats.org/officeDocument/2006/relationships/hyperlink" Target="file:///p:\pprever\2017-18\4654_20180220.docx" TargetMode="External"/><Relationship Id="rId2" Type="http://schemas.openxmlformats.org/officeDocument/2006/relationships/styles" Target="styles.xml"/><Relationship Id="rId16" Type="http://schemas.openxmlformats.org/officeDocument/2006/relationships/hyperlink" Target="file:///h:\sj\20180307.docx" TargetMode="External"/><Relationship Id="rId20" Type="http://schemas.openxmlformats.org/officeDocument/2006/relationships/hyperlink" Target="file:///h:\hj\20180404.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6.docx" TargetMode="External"/><Relationship Id="rId24" Type="http://schemas.openxmlformats.org/officeDocument/2006/relationships/hyperlink" Target="file:///p:\pprever\2017-18\4654_20180201.docx" TargetMode="External"/><Relationship Id="rId5" Type="http://schemas.openxmlformats.org/officeDocument/2006/relationships/footnotes" Target="footnotes.xml"/><Relationship Id="rId15" Type="http://schemas.openxmlformats.org/officeDocument/2006/relationships/hyperlink" Target="file:///h:\sj\20180220.docx" TargetMode="External"/><Relationship Id="rId23" Type="http://schemas.openxmlformats.org/officeDocument/2006/relationships/hyperlink" Target="file:///p:\pprever\2017-18\4654_20180123.docx" TargetMode="External"/><Relationship Id="rId28" Type="http://schemas.openxmlformats.org/officeDocument/2006/relationships/footer" Target="footer1.xml"/><Relationship Id="rId10" Type="http://schemas.openxmlformats.org/officeDocument/2006/relationships/hyperlink" Target="file:///h:\hj\20180206.docx" TargetMode="External"/><Relationship Id="rId19" Type="http://schemas.openxmlformats.org/officeDocument/2006/relationships/hyperlink" Target="file:///h:\sj\2018032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80201.docx" TargetMode="External"/><Relationship Id="rId14" Type="http://schemas.openxmlformats.org/officeDocument/2006/relationships/hyperlink" Target="file:///h:\sj\20180207.docx" TargetMode="External"/><Relationship Id="rId22" Type="http://schemas.openxmlformats.org/officeDocument/2006/relationships/hyperlink" Target="http://www.scstatehouse.gov/billsearch.php?billnumbers=4654&amp;session=122&amp;summary=B" TargetMode="External"/><Relationship Id="rId27" Type="http://schemas.openxmlformats.org/officeDocument/2006/relationships/hyperlink" Target="file:///p:\pprever\2017-18\4654_2018030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C57B7-DDD8-4F24-9B4B-6F19F6F1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9CE10D05.dotm</Template>
  <TotalTime>0</TotalTime>
  <Pages>6</Pages>
  <Words>1726</Words>
  <Characters>9843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4654: Insurance producers - South Carolina Legislature Online</dc:title>
  <dc:subject/>
  <dc:creator>%USERNAME%</dc:creator>
  <cp:keywords/>
  <dc:description/>
  <cp:lastModifiedBy>Lavarres Lynch</cp:lastModifiedBy>
  <cp:revision>2</cp:revision>
  <cp:lastPrinted>2018-04-04T16:30:00Z</cp:lastPrinted>
  <dcterms:created xsi:type="dcterms:W3CDTF">2018-05-09T16:13:00Z</dcterms:created>
  <dcterms:modified xsi:type="dcterms:W3CDTF">2018-05-09T16:13:00Z</dcterms:modified>
</cp:coreProperties>
</file>