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35F" w:rsidRDefault="0046035F" w:rsidP="0046035F">
      <w:pPr>
        <w:widowControl w:val="0"/>
        <w:jc w:val="center"/>
      </w:pPr>
      <w:r w:rsidRPr="0046035F">
        <w:rPr>
          <w:b/>
        </w:rPr>
        <w:t>South Carolina General Assembly</w:t>
      </w:r>
    </w:p>
    <w:p w:rsidR="0046035F" w:rsidRDefault="0046035F" w:rsidP="0046035F">
      <w:pPr>
        <w:widowControl w:val="0"/>
        <w:jc w:val="center"/>
      </w:pPr>
      <w:r>
        <w:t>122nd Session, 2017-2018</w:t>
      </w:r>
    </w:p>
    <w:p w:rsidR="0046035F" w:rsidRDefault="0046035F" w:rsidP="0046035F">
      <w:pPr>
        <w:widowControl w:val="0"/>
        <w:jc w:val="left"/>
      </w:pPr>
    </w:p>
    <w:p w:rsidR="0046035F" w:rsidRDefault="0046035F" w:rsidP="0046035F">
      <w:pPr>
        <w:widowControl w:val="0"/>
        <w:jc w:val="left"/>
        <w:rPr>
          <w:b/>
        </w:rPr>
      </w:pPr>
      <w:r w:rsidRPr="0046035F">
        <w:rPr>
          <w:b/>
        </w:rPr>
        <w:t>H. 4671</w:t>
      </w:r>
    </w:p>
    <w:p w:rsidR="0046035F" w:rsidRDefault="0046035F" w:rsidP="0046035F">
      <w:pPr>
        <w:widowControl w:val="0"/>
        <w:jc w:val="left"/>
        <w:rPr>
          <w:b/>
        </w:rPr>
      </w:pPr>
    </w:p>
    <w:p w:rsidR="0046035F" w:rsidRDefault="0046035F" w:rsidP="0046035F">
      <w:pPr>
        <w:widowControl w:val="0"/>
        <w:jc w:val="left"/>
      </w:pPr>
      <w:r w:rsidRPr="0046035F">
        <w:rPr>
          <w:b/>
        </w:rPr>
        <w:t>STATUS INFORMATION</w:t>
      </w:r>
    </w:p>
    <w:p w:rsidR="0046035F" w:rsidRDefault="0046035F" w:rsidP="0046035F">
      <w:pPr>
        <w:widowControl w:val="0"/>
        <w:jc w:val="left"/>
      </w:pPr>
    </w:p>
    <w:p w:rsidR="0046035F" w:rsidRDefault="0046035F" w:rsidP="0046035F">
      <w:pPr>
        <w:widowControl w:val="0"/>
        <w:jc w:val="left"/>
      </w:pPr>
      <w:r>
        <w:t>General Bill</w:t>
      </w:r>
    </w:p>
    <w:p w:rsidR="0046035F" w:rsidRDefault="0046035F" w:rsidP="0046035F">
      <w:pPr>
        <w:widowControl w:val="0"/>
        <w:jc w:val="left"/>
      </w:pPr>
      <w:r>
        <w:t>Sponsors: Reps. Elliott, Bryant and Pope</w:t>
      </w:r>
    </w:p>
    <w:p w:rsidR="0046035F" w:rsidRDefault="0046035F" w:rsidP="0046035F">
      <w:pPr>
        <w:widowControl w:val="0"/>
        <w:jc w:val="left"/>
      </w:pPr>
      <w:r>
        <w:t>Document Path: l:\council\bills\dka\3108sa18.docx</w:t>
      </w:r>
    </w:p>
    <w:p w:rsidR="0046035F" w:rsidRDefault="0046035F" w:rsidP="0046035F">
      <w:pPr>
        <w:widowControl w:val="0"/>
        <w:jc w:val="left"/>
      </w:pPr>
    </w:p>
    <w:p w:rsidR="0046035F" w:rsidRDefault="0046035F" w:rsidP="0046035F">
      <w:pPr>
        <w:widowControl w:val="0"/>
        <w:jc w:val="left"/>
      </w:pPr>
      <w:r>
        <w:t>Introduced in the House on January 24, 2018</w:t>
      </w:r>
    </w:p>
    <w:p w:rsidR="0046035F" w:rsidRDefault="0046035F" w:rsidP="0046035F">
      <w:pPr>
        <w:widowControl w:val="0"/>
        <w:jc w:val="left"/>
      </w:pPr>
      <w:r>
        <w:t xml:space="preserve">Currently residing in the House Committee on </w:t>
      </w:r>
      <w:r w:rsidRPr="0046035F">
        <w:rPr>
          <w:b/>
        </w:rPr>
        <w:t>Judiciary</w:t>
      </w:r>
    </w:p>
    <w:p w:rsidR="0046035F" w:rsidRDefault="0046035F" w:rsidP="0046035F">
      <w:pPr>
        <w:widowControl w:val="0"/>
        <w:jc w:val="left"/>
      </w:pPr>
    </w:p>
    <w:p w:rsidR="0046035F" w:rsidRDefault="0046035F" w:rsidP="0046035F">
      <w:pPr>
        <w:widowControl w:val="0"/>
        <w:jc w:val="left"/>
      </w:pPr>
      <w:r>
        <w:t xml:space="preserve">Summary: </w:t>
      </w:r>
      <w:r w:rsidR="00D46AC8">
        <w:t>Marijuana and Controlled Substance Tax Act</w:t>
      </w:r>
    </w:p>
    <w:p w:rsidR="0046035F" w:rsidRDefault="0046035F" w:rsidP="0046035F">
      <w:pPr>
        <w:widowControl w:val="0"/>
        <w:jc w:val="left"/>
      </w:pPr>
    </w:p>
    <w:p w:rsidR="0046035F" w:rsidRDefault="0046035F" w:rsidP="0046035F">
      <w:pPr>
        <w:widowControl w:val="0"/>
        <w:jc w:val="left"/>
      </w:pPr>
    </w:p>
    <w:p w:rsidR="0046035F" w:rsidRDefault="0046035F" w:rsidP="0046035F">
      <w:pPr>
        <w:widowControl w:val="0"/>
        <w:tabs>
          <w:tab w:val="center" w:pos="590"/>
          <w:tab w:val="center" w:pos="1440"/>
          <w:tab w:val="left" w:pos="1872"/>
          <w:tab w:val="left" w:pos="9187"/>
        </w:tabs>
        <w:jc w:val="left"/>
      </w:pPr>
      <w:r w:rsidRPr="0046035F">
        <w:rPr>
          <w:b/>
        </w:rPr>
        <w:t>HISTORY OF LEGISLATIVE ACTIONS</w:t>
      </w:r>
    </w:p>
    <w:p w:rsidR="0046035F" w:rsidRDefault="0046035F" w:rsidP="0046035F">
      <w:pPr>
        <w:widowControl w:val="0"/>
        <w:tabs>
          <w:tab w:val="center" w:pos="590"/>
          <w:tab w:val="center" w:pos="1440"/>
          <w:tab w:val="left" w:pos="1872"/>
          <w:tab w:val="left" w:pos="9187"/>
        </w:tabs>
        <w:jc w:val="left"/>
      </w:pPr>
    </w:p>
    <w:p w:rsidR="0046035F" w:rsidRPr="0046035F" w:rsidRDefault="0046035F" w:rsidP="0046035F">
      <w:pPr>
        <w:widowControl w:val="0"/>
        <w:tabs>
          <w:tab w:val="center" w:pos="590"/>
          <w:tab w:val="center" w:pos="1440"/>
          <w:tab w:val="left" w:pos="1872"/>
          <w:tab w:val="left" w:pos="9187"/>
        </w:tabs>
        <w:jc w:val="left"/>
      </w:pPr>
      <w:r w:rsidRPr="0046035F">
        <w:rPr>
          <w:u w:val="single"/>
        </w:rPr>
        <w:tab/>
        <w:t>Date</w:t>
      </w:r>
      <w:r w:rsidRPr="0046035F">
        <w:rPr>
          <w:u w:val="single"/>
        </w:rPr>
        <w:tab/>
        <w:t>Body</w:t>
      </w:r>
      <w:r w:rsidRPr="0046035F">
        <w:rPr>
          <w:u w:val="single"/>
        </w:rPr>
        <w:tab/>
        <w:t>Action Description with journal page number</w:t>
      </w:r>
      <w:r w:rsidRPr="0046035F">
        <w:rPr>
          <w:u w:val="single"/>
        </w:rPr>
        <w:tab/>
      </w:r>
    </w:p>
    <w:p w:rsidR="00C42A35" w:rsidRDefault="00C42A35" w:rsidP="00C42A35">
      <w:pPr>
        <w:widowControl w:val="0"/>
        <w:tabs>
          <w:tab w:val="right" w:pos="1008"/>
          <w:tab w:val="left" w:pos="1152"/>
          <w:tab w:val="left" w:pos="1872"/>
          <w:tab w:val="left" w:pos="9187"/>
        </w:tabs>
        <w:ind w:left="2088" w:hanging="2088"/>
        <w:jc w:val="left"/>
      </w:pPr>
      <w:r>
        <w:tab/>
        <w:t>1/24/2018</w:t>
      </w:r>
      <w:r>
        <w:tab/>
        <w:t>House</w:t>
      </w:r>
      <w:r>
        <w:tab/>
      </w:r>
      <w:r w:rsidRPr="00BC5CBD">
        <w:t>Introduced and read first time (</w:t>
      </w:r>
      <w:hyperlink r:id="rId7" w:history="1">
        <w:r w:rsidRPr="00BC5CBD">
          <w:rPr>
            <w:rStyle w:val="Hyperlink"/>
          </w:rPr>
          <w:t>House Journal</w:t>
        </w:r>
        <w:r w:rsidRPr="00BC5CBD">
          <w:rPr>
            <w:rStyle w:val="Hyperlink"/>
          </w:rPr>
          <w:noBreakHyphen/>
          <w:t>page 25</w:t>
        </w:r>
      </w:hyperlink>
      <w:r w:rsidRPr="00BC5CBD">
        <w:t>)</w:t>
      </w:r>
    </w:p>
    <w:p w:rsidR="00C42A35" w:rsidRDefault="00C42A35" w:rsidP="00C42A35">
      <w:pPr>
        <w:widowControl w:val="0"/>
        <w:tabs>
          <w:tab w:val="right" w:pos="1008"/>
          <w:tab w:val="left" w:pos="1152"/>
          <w:tab w:val="left" w:pos="1872"/>
          <w:tab w:val="left" w:pos="9187"/>
        </w:tabs>
        <w:ind w:left="2088" w:hanging="2088"/>
        <w:jc w:val="left"/>
      </w:pPr>
      <w:r>
        <w:tab/>
        <w:t>1/24/2018</w:t>
      </w:r>
      <w:r>
        <w:tab/>
        <w:t>House</w:t>
      </w:r>
      <w:r>
        <w:tab/>
      </w:r>
      <w:r w:rsidRPr="00BC5CBD">
        <w:t>Referred to Committ</w:t>
      </w:r>
      <w:r>
        <w:t xml:space="preserve">ee on </w:t>
      </w:r>
      <w:r w:rsidRPr="00BC5CBD">
        <w:rPr>
          <w:b/>
        </w:rPr>
        <w:t>Judiciary</w:t>
      </w:r>
      <w:r>
        <w:t xml:space="preserve"> </w:t>
      </w:r>
      <w:r w:rsidRPr="00BC5CBD">
        <w:t>(</w:t>
      </w:r>
      <w:hyperlink r:id="rId8" w:history="1">
        <w:r w:rsidRPr="00BC5CBD">
          <w:rPr>
            <w:rStyle w:val="Hyperlink"/>
          </w:rPr>
          <w:t>House Journal</w:t>
        </w:r>
        <w:r w:rsidRPr="00BC5CBD">
          <w:rPr>
            <w:rStyle w:val="Hyperlink"/>
          </w:rPr>
          <w:noBreakHyphen/>
          <w:t>page 25</w:t>
        </w:r>
      </w:hyperlink>
      <w:r w:rsidRPr="00BC5CBD">
        <w:t>)</w:t>
      </w:r>
    </w:p>
    <w:p w:rsidR="00C42A35" w:rsidRDefault="00C42A35" w:rsidP="00C42A35">
      <w:pPr>
        <w:widowControl w:val="0"/>
        <w:tabs>
          <w:tab w:val="right" w:pos="1008"/>
          <w:tab w:val="left" w:pos="1152"/>
          <w:tab w:val="left" w:pos="1872"/>
          <w:tab w:val="left" w:pos="9187"/>
        </w:tabs>
        <w:ind w:left="2088" w:hanging="2088"/>
        <w:jc w:val="left"/>
      </w:pPr>
    </w:p>
    <w:p w:rsidR="0046035F" w:rsidRDefault="0046035F" w:rsidP="004603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035F">
          <w:rPr>
            <w:rStyle w:val="Hyperlink"/>
          </w:rPr>
          <w:t>legislative information</w:t>
        </w:r>
      </w:hyperlink>
      <w:r>
        <w:t xml:space="preserve"> at the website</w:t>
      </w:r>
    </w:p>
    <w:p w:rsidR="0046035F" w:rsidRDefault="0046035F" w:rsidP="0046035F">
      <w:pPr>
        <w:widowControl w:val="0"/>
        <w:tabs>
          <w:tab w:val="right" w:pos="1008"/>
          <w:tab w:val="left" w:pos="1152"/>
          <w:tab w:val="left" w:pos="1872"/>
          <w:tab w:val="left" w:pos="9187"/>
        </w:tabs>
        <w:ind w:left="2088" w:hanging="2088"/>
        <w:jc w:val="left"/>
      </w:pPr>
    </w:p>
    <w:p w:rsidR="0046035F" w:rsidRPr="0046035F" w:rsidRDefault="0046035F" w:rsidP="0046035F">
      <w:pPr>
        <w:widowControl w:val="0"/>
        <w:tabs>
          <w:tab w:val="right" w:pos="1008"/>
          <w:tab w:val="left" w:pos="1152"/>
          <w:tab w:val="left" w:pos="1872"/>
          <w:tab w:val="left" w:pos="9187"/>
        </w:tabs>
        <w:ind w:left="2088" w:hanging="2088"/>
        <w:jc w:val="left"/>
      </w:pPr>
    </w:p>
    <w:p w:rsidR="0046035F" w:rsidRDefault="0046035F" w:rsidP="0046035F">
      <w:pPr>
        <w:widowControl w:val="0"/>
        <w:jc w:val="left"/>
      </w:pPr>
      <w:r w:rsidRPr="0046035F">
        <w:rPr>
          <w:b/>
        </w:rPr>
        <w:t>VERSIONS OF THIS BILL</w:t>
      </w:r>
    </w:p>
    <w:p w:rsidR="0046035F" w:rsidRDefault="0046035F" w:rsidP="0046035F">
      <w:pPr>
        <w:widowControl w:val="0"/>
        <w:jc w:val="left"/>
      </w:pPr>
    </w:p>
    <w:p w:rsidR="0046035F" w:rsidRDefault="00D10367" w:rsidP="0046035F">
      <w:pPr>
        <w:widowControl w:val="0"/>
        <w:jc w:val="left"/>
      </w:pPr>
      <w:hyperlink r:id="rId10" w:history="1">
        <w:r w:rsidR="0046035F">
          <w:rPr>
            <w:rStyle w:val="Hyperlink"/>
          </w:rPr>
          <w:t>1/24/2018</w:t>
        </w:r>
      </w:hyperlink>
    </w:p>
    <w:p w:rsidR="0046035F" w:rsidRDefault="0046035F" w:rsidP="0046035F"/>
    <w:p w:rsidR="0046035F" w:rsidRDefault="0046035F" w:rsidP="0046035F">
      <w:pPr>
        <w:sectPr w:rsidR="0046035F" w:rsidSect="0046035F">
          <w:pgSz w:w="12240" w:h="15840" w:code="1"/>
          <w:pgMar w:top="1080" w:right="1440" w:bottom="1080" w:left="1440" w:header="720" w:footer="720" w:gutter="0"/>
          <w:cols w:space="720"/>
          <w:noEndnote/>
          <w:docGrid w:linePitch="360"/>
        </w:sectPr>
      </w:pPr>
    </w:p>
    <w:p w:rsidR="0093087E" w:rsidRDefault="0093087E"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19B" w:rsidRDefault="007D019B" w:rsidP="007D0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7BCE">
        <w:rPr>
          <w:color w:val="000000" w:themeColor="text1"/>
          <w:u w:color="000000" w:themeColor="text1"/>
        </w:rPr>
        <w:t>TO AMEND 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6000, CODE OF LAWS OF SOUTH CAROLINA, 1976, RELATING TO THE PENALTIES FOR VIOLATING THE MARIJUANA AND CONTROLLED SUBSTANCES TAX ACT, SO AS TO PROVIDE THAT A CONVICTION OF A DEALER IS NOT REQUIRED FOR THE DEPARTMENT TO LEVY THE TAX; TO AMEND 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6050, RELATING TO THE DISTRIBUTION OF TAX PROCEEDS FROM THE MARIJUANA AND CONTROLLED SUBSTANCES TAX, SO AS TO PROVIDE THAT SEVENTY</w:t>
      </w:r>
      <w:r>
        <w:rPr>
          <w:color w:val="000000" w:themeColor="text1"/>
          <w:u w:color="000000" w:themeColor="text1"/>
        </w:rPr>
        <w:noBreakHyphen/>
      </w:r>
      <w:r w:rsidRPr="00057BCE">
        <w:rPr>
          <w:color w:val="000000" w:themeColor="text1"/>
          <w:u w:color="000000" w:themeColor="text1"/>
        </w:rPr>
        <w:t xml:space="preserve">FIVE PERCENT OF THE FUNDS MUST BE DISTRIBUTED TO THE STATE OR LOCAL LAW ENFORCEMENT AGENCY THAT CONDUCTED THE INVESTIGATION OF A DEALER THAT LED TO THE ASSESSMENT.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92" w:rsidRPr="00057BCE" w:rsidRDefault="00446D5A"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7B92" w:rsidRPr="00057BCE">
        <w:rPr>
          <w:color w:val="000000" w:themeColor="text1"/>
          <w:u w:color="000000" w:themeColor="text1"/>
        </w:rPr>
        <w:t>Section 12</w:t>
      </w:r>
      <w:r w:rsidR="00AE7B92">
        <w:rPr>
          <w:color w:val="000000" w:themeColor="text1"/>
          <w:u w:color="000000" w:themeColor="text1"/>
        </w:rPr>
        <w:noBreakHyphen/>
      </w:r>
      <w:r w:rsidR="00AE7B92" w:rsidRPr="00057BCE">
        <w:rPr>
          <w:color w:val="000000" w:themeColor="text1"/>
          <w:u w:color="000000" w:themeColor="text1"/>
        </w:rPr>
        <w:t>21</w:t>
      </w:r>
      <w:r w:rsidR="00AE7B92">
        <w:rPr>
          <w:color w:val="000000" w:themeColor="text1"/>
          <w:u w:color="000000" w:themeColor="text1"/>
        </w:rPr>
        <w:noBreakHyphen/>
      </w:r>
      <w:r w:rsidR="00AE7B92" w:rsidRPr="00057BCE">
        <w:rPr>
          <w:color w:val="000000" w:themeColor="text1"/>
          <w:u w:color="000000" w:themeColor="text1"/>
        </w:rPr>
        <w:t>6000 of the 1976 Code is amended by adding an appropriately lettered subsection to read:</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BCE">
        <w:rPr>
          <w:color w:val="000000" w:themeColor="text1"/>
          <w:u w:color="000000" w:themeColor="text1"/>
        </w:rPr>
        <w:tab/>
        <w:t>“( )</w:t>
      </w:r>
      <w:r>
        <w:rPr>
          <w:color w:val="000000" w:themeColor="text1"/>
          <w:u w:color="000000" w:themeColor="text1"/>
        </w:rPr>
        <w:tab/>
      </w:r>
      <w:r w:rsidRPr="00057BCE">
        <w:rPr>
          <w:color w:val="000000" w:themeColor="text1"/>
          <w:u w:color="000000" w:themeColor="text1"/>
        </w:rPr>
        <w:t xml:space="preserve">A conviction against a dealer is not required for the department to levy the tax.” </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BCE">
        <w:rPr>
          <w:color w:val="000000" w:themeColor="text1"/>
          <w:u w:color="000000" w:themeColor="text1"/>
        </w:rPr>
        <w:t>SECTION</w:t>
      </w:r>
      <w:r w:rsidRPr="00057BCE">
        <w:rPr>
          <w:color w:val="000000" w:themeColor="text1"/>
          <w:u w:color="000000" w:themeColor="text1"/>
        </w:rPr>
        <w:tab/>
        <w:t>2.</w:t>
      </w:r>
      <w:r w:rsidRPr="00057BCE">
        <w:rPr>
          <w:color w:val="000000" w:themeColor="text1"/>
          <w:u w:color="000000" w:themeColor="text1"/>
        </w:rPr>
        <w:tab/>
        <w:t>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r>
      <w:r w:rsidRPr="00057BCE">
        <w:rPr>
          <w:color w:val="000000" w:themeColor="text1"/>
          <w:u w:color="000000" w:themeColor="text1"/>
        </w:rPr>
        <w:t>6050 of the 1976 Code is amended to read:</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BCE">
        <w:rPr>
          <w:color w:val="000000" w:themeColor="text1"/>
          <w:u w:color="000000" w:themeColor="text1"/>
        </w:rPr>
        <w:tab/>
        <w:t>“Section 12</w:t>
      </w:r>
      <w:r>
        <w:rPr>
          <w:color w:val="000000" w:themeColor="text1"/>
          <w:u w:color="000000" w:themeColor="text1"/>
        </w:rPr>
        <w:noBreakHyphen/>
      </w:r>
      <w:r w:rsidRPr="00057BCE">
        <w:rPr>
          <w:color w:val="000000" w:themeColor="text1"/>
          <w:u w:color="000000" w:themeColor="text1"/>
        </w:rPr>
        <w:t>21</w:t>
      </w:r>
      <w:r>
        <w:rPr>
          <w:color w:val="000000" w:themeColor="text1"/>
          <w:u w:color="000000" w:themeColor="text1"/>
        </w:rPr>
        <w:noBreakHyphen/>
        <w:t xml:space="preserve">6050. </w:t>
      </w:r>
      <w:r>
        <w:rPr>
          <w:color w:val="000000" w:themeColor="text1"/>
          <w:u w:color="000000" w:themeColor="text1"/>
        </w:rPr>
        <w:tab/>
      </w:r>
      <w:r w:rsidRPr="00057BCE">
        <w:rPr>
          <w:color w:val="000000" w:themeColor="text1"/>
          <w:u w:val="single" w:color="000000" w:themeColor="text1"/>
        </w:rPr>
        <w:t>(A)</w:t>
      </w:r>
      <w:r>
        <w:rPr>
          <w:color w:val="000000" w:themeColor="text1"/>
          <w:u w:color="000000" w:themeColor="text1"/>
        </w:rPr>
        <w:tab/>
      </w:r>
      <w:r w:rsidRPr="00057BCE">
        <w:rPr>
          <w:color w:val="000000" w:themeColor="text1"/>
          <w:u w:color="000000" w:themeColor="text1"/>
        </w:rPr>
        <w:t xml:space="preserve">The department shall credit </w:t>
      </w:r>
      <w:r w:rsidRPr="00057BCE">
        <w:rPr>
          <w:color w:val="000000" w:themeColor="text1"/>
          <w:u w:val="single" w:color="000000" w:themeColor="text1"/>
        </w:rPr>
        <w:t>twenty</w:t>
      </w:r>
      <w:r>
        <w:rPr>
          <w:color w:val="000000" w:themeColor="text1"/>
          <w:u w:val="single" w:color="000000" w:themeColor="text1"/>
        </w:rPr>
        <w:noBreakHyphen/>
      </w:r>
      <w:r w:rsidRPr="00057BCE">
        <w:rPr>
          <w:color w:val="000000" w:themeColor="text1"/>
          <w:u w:val="single" w:color="000000" w:themeColor="text1"/>
        </w:rPr>
        <w:t>five percent of</w:t>
      </w:r>
      <w:r w:rsidRPr="00057BCE">
        <w:rPr>
          <w:color w:val="000000" w:themeColor="text1"/>
          <w:u w:color="000000" w:themeColor="text1"/>
        </w:rPr>
        <w:t xml:space="preserve"> the proceeds of the tax levied by this article to the general fund of the State. </w:t>
      </w:r>
      <w:r w:rsidRPr="00057BCE">
        <w:rPr>
          <w:color w:val="000000" w:themeColor="text1"/>
          <w:u w:val="single" w:color="000000" w:themeColor="text1"/>
        </w:rPr>
        <w:t>The remaining seventy</w:t>
      </w:r>
      <w:r>
        <w:rPr>
          <w:color w:val="000000" w:themeColor="text1"/>
          <w:u w:val="single" w:color="000000" w:themeColor="text1"/>
        </w:rPr>
        <w:noBreakHyphen/>
      </w:r>
      <w:r w:rsidRPr="00057BCE">
        <w:rPr>
          <w:color w:val="000000" w:themeColor="text1"/>
          <w:u w:val="single" w:color="000000" w:themeColor="text1"/>
        </w:rPr>
        <w:t xml:space="preserve">five percent must be maintained in a separate account created by the department. The department shall distribute the tax proceeds in the account that </w:t>
      </w:r>
      <w:r w:rsidRPr="00057BCE">
        <w:rPr>
          <w:color w:val="000000" w:themeColor="text1"/>
          <w:u w:val="single" w:color="000000" w:themeColor="text1"/>
        </w:rPr>
        <w:lastRenderedPageBreak/>
        <w:t>were collected by assessment to the state or local law enforcement agency that conducted the investigation of a dealer that led to the assessment. The department shall distribute the tax proceeds from the account on a quarterly or more frequent basis. If more than one state or local law enforcement agency conducted the investigation, the department shall determine the equitable share for each agency based on the contribution each agency made to the investigation. A state or local law enforcement agency may submit evidence to the department of the level of contribution the agency made to the investigation that led to the assessment.</w:t>
      </w:r>
    </w:p>
    <w:p w:rsidR="00AE7B92" w:rsidRPr="00057BCE"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BCE">
        <w:rPr>
          <w:color w:val="000000" w:themeColor="text1"/>
          <w:u w:color="000000" w:themeColor="text1"/>
        </w:rPr>
        <w:tab/>
      </w:r>
      <w:r w:rsidRPr="00057BCE">
        <w:rPr>
          <w:color w:val="000000" w:themeColor="text1"/>
          <w:u w:val="single" w:color="000000" w:themeColor="text1"/>
        </w:rPr>
        <w:t>(B)</w:t>
      </w:r>
      <w:r w:rsidRPr="00057BCE">
        <w:rPr>
          <w:color w:val="000000" w:themeColor="text1"/>
          <w:u w:color="000000" w:themeColor="text1"/>
        </w:rPr>
        <w:tab/>
      </w:r>
      <w:r w:rsidRPr="00057BCE">
        <w:rPr>
          <w:color w:val="000000" w:themeColor="text1"/>
          <w:u w:val="single" w:color="000000" w:themeColor="text1"/>
        </w:rPr>
        <w:t xml:space="preserve">The department may establish procedures for any necessary tax refunds. The refund of a tax that has already been distributed must be drawn initially from the fund. The amount of refunded taxes that were distributed to a law enforcement agency under this section and any interest must be subtracted from succeeding distributions from the account to that law enforcement agency. The amount of refunded taxes that were credited to the general fund under this section and any interest must be subtracted from succeeding credits to the general fund from the account. </w:t>
      </w:r>
    </w:p>
    <w:p w:rsidR="00446D5A" w:rsidRDefault="00AE7B92" w:rsidP="00AE7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BCE">
        <w:rPr>
          <w:color w:val="000000" w:themeColor="text1"/>
          <w:u w:color="000000" w:themeColor="text1"/>
        </w:rPr>
        <w:tab/>
      </w:r>
      <w:r w:rsidRPr="00057BCE">
        <w:rPr>
          <w:color w:val="000000" w:themeColor="text1"/>
          <w:u w:val="single" w:color="000000" w:themeColor="text1"/>
        </w:rPr>
        <w:t>(C)</w:t>
      </w:r>
      <w:r w:rsidRPr="00057BCE">
        <w:rPr>
          <w:color w:val="000000" w:themeColor="text1"/>
          <w:u w:color="000000" w:themeColor="text1"/>
        </w:rPr>
        <w:tab/>
      </w:r>
      <w:r w:rsidRPr="00057BCE">
        <w:rPr>
          <w:color w:val="000000" w:themeColor="text1"/>
          <w:u w:val="single" w:color="000000" w:themeColor="text1"/>
        </w:rPr>
        <w:t>The department may promulgate regulations necessary to implement the provisions of this section.</w:t>
      </w:r>
      <w:r w:rsidRPr="00057BCE">
        <w:rPr>
          <w:color w:val="000000" w:themeColor="text1"/>
          <w:u w:color="000000" w:themeColor="text1"/>
        </w:rPr>
        <w:t>”</w:t>
      </w: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5A" w:rsidRDefault="00446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B92">
        <w:t>3</w:t>
      </w:r>
      <w:r>
        <w:t>.</w:t>
      </w:r>
      <w:r>
        <w:tab/>
        <w:t>This act takes effect upon approval by the Governor.</w:t>
      </w:r>
    </w:p>
    <w:p w:rsidR="006868D6" w:rsidRDefault="00AE7B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35F" w:rsidRDefault="0046035F" w:rsidP="0046035F">
      <w:pPr>
        <w:suppressAutoHyphens/>
      </w:pPr>
    </w:p>
    <w:sectPr w:rsidR="0046035F" w:rsidSect="004603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D5A" w:rsidRDefault="00446D5A" w:rsidP="009F0C77">
      <w:r>
        <w:separator/>
      </w:r>
    </w:p>
  </w:endnote>
  <w:endnote w:type="continuationSeparator" w:id="0">
    <w:p w:rsidR="00446D5A" w:rsidRDefault="00446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2C340A-55D2-4537-AD01-70F46C63530A}"/>
    <w:embedBold r:id="rId2" w:fontKey="{2DEF5221-A632-48F0-95A9-CFCE96764B04}"/>
  </w:font>
  <w:font w:name="Calibri">
    <w:panose1 w:val="020F0502020204030204"/>
    <w:charset w:val="00"/>
    <w:family w:val="swiss"/>
    <w:pitch w:val="variable"/>
    <w:sig w:usb0="E00002FF" w:usb1="4000ACFF" w:usb2="00000001" w:usb3="00000000" w:csb0="0000019F" w:csb1="00000000"/>
    <w:embedRegular r:id="rId3" w:fontKey="{916B106C-CDB0-436F-8A24-56284EBD90C2}"/>
  </w:font>
  <w:font w:name="Segoe UI">
    <w:panose1 w:val="020B0502040204020203"/>
    <w:charset w:val="00"/>
    <w:family w:val="swiss"/>
    <w:pitch w:val="variable"/>
    <w:sig w:usb0="E10022FF" w:usb1="C000E47F" w:usb2="00000029" w:usb3="00000000" w:csb0="000001DF" w:csb1="00000000"/>
    <w:embedRegular r:id="rId4" w:fontKey="{54A96F3B-42FF-4438-B843-521347AC765A}"/>
  </w:font>
  <w:font w:name="Cambria">
    <w:panose1 w:val="02040503050406030204"/>
    <w:charset w:val="00"/>
    <w:family w:val="roman"/>
    <w:pitch w:val="variable"/>
    <w:sig w:usb0="E00002FF" w:usb1="400004FF" w:usb2="00000000" w:usb3="00000000" w:csb0="0000019F" w:csb1="00000000"/>
    <w:embedRegular r:id="rId5" w:fontKey="{196694D6-30A9-4F95-9546-141516C1D0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5F" w:rsidRPr="0093087E" w:rsidRDefault="0046035F" w:rsidP="0093087E">
    <w:pPr>
      <w:pStyle w:val="Footer"/>
      <w:tabs>
        <w:tab w:val="clear" w:pos="4680"/>
        <w:tab w:val="clear" w:pos="9360"/>
        <w:tab w:val="center" w:pos="2995"/>
      </w:tabs>
      <w:spacing w:before="120"/>
    </w:pPr>
    <w:r>
      <w:t>[4671]</w:t>
    </w:r>
    <w:r>
      <w:tab/>
    </w:r>
    <w:r>
      <w:fldChar w:fldCharType="begin"/>
    </w:r>
    <w:r>
      <w:instrText xml:space="preserve"> PAGE  \* MERGEFORMAT </w:instrText>
    </w:r>
    <w:r>
      <w:fldChar w:fldCharType="separate"/>
    </w:r>
    <w:r w:rsidR="00D46A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D5A" w:rsidRDefault="00446D5A" w:rsidP="009F0C77">
      <w:r>
        <w:separator/>
      </w:r>
    </w:p>
  </w:footnote>
  <w:footnote w:type="continuationSeparator" w:id="0">
    <w:p w:rsidR="00446D5A" w:rsidRDefault="00446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8SA18"/>
    <w:docVar w:name="CoverBillType" w:val="b"/>
    <w:docVar w:name="DocPath" w:val="L:\Council\bills\DKA\3108SA18.DOCX"/>
    <w:docVar w:name="dvBillNumber" w:val="4671"/>
    <w:docVar w:name="dvBillNumberPrefix" w:val="H. "/>
    <w:docVar w:name="dvOriginalBody" w:val="House"/>
    <w:docVar w:name="dvSteno" w:val="DKA"/>
    <w:docVar w:name="NameofBody" w:val="h"/>
    <w:docVar w:name="vGroup2" w:val="Council"/>
  </w:docVars>
  <w:rsids>
    <w:rsidRoot w:val="00446D5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D5A"/>
    <w:rsid w:val="0046035F"/>
    <w:rsid w:val="00461441"/>
    <w:rsid w:val="004809EE"/>
    <w:rsid w:val="004E7D54"/>
    <w:rsid w:val="005273C6"/>
    <w:rsid w:val="00530A69"/>
    <w:rsid w:val="00545593"/>
    <w:rsid w:val="00552EFC"/>
    <w:rsid w:val="00556EBF"/>
    <w:rsid w:val="00577C6C"/>
    <w:rsid w:val="005A62FE"/>
    <w:rsid w:val="005C2FE2"/>
    <w:rsid w:val="005E2BC9"/>
    <w:rsid w:val="00605102"/>
    <w:rsid w:val="006215AA"/>
    <w:rsid w:val="006868D6"/>
    <w:rsid w:val="006913C9"/>
    <w:rsid w:val="0069470D"/>
    <w:rsid w:val="006D58AA"/>
    <w:rsid w:val="00734F00"/>
    <w:rsid w:val="007A70AE"/>
    <w:rsid w:val="007D019B"/>
    <w:rsid w:val="008362E8"/>
    <w:rsid w:val="0085786E"/>
    <w:rsid w:val="008A1768"/>
    <w:rsid w:val="008A489F"/>
    <w:rsid w:val="008F0F33"/>
    <w:rsid w:val="008F4429"/>
    <w:rsid w:val="0093087E"/>
    <w:rsid w:val="0094021A"/>
    <w:rsid w:val="009B0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B92"/>
    <w:rsid w:val="00B412D4"/>
    <w:rsid w:val="00BB1784"/>
    <w:rsid w:val="00BE3C22"/>
    <w:rsid w:val="00C0345E"/>
    <w:rsid w:val="00C31C95"/>
    <w:rsid w:val="00C3483A"/>
    <w:rsid w:val="00C42A35"/>
    <w:rsid w:val="00C74E9D"/>
    <w:rsid w:val="00C826DD"/>
    <w:rsid w:val="00C82FD3"/>
    <w:rsid w:val="00C92819"/>
    <w:rsid w:val="00CC6B7B"/>
    <w:rsid w:val="00CD2089"/>
    <w:rsid w:val="00D46AC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2FE7F2-54B8-46A5-AE06-97F03EAC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0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35F"/>
    <w:rPr>
      <w:rFonts w:ascii="Segoe UI" w:eastAsia="Times New Roman" w:hAnsi="Segoe UI" w:cs="Segoe UI"/>
      <w:sz w:val="18"/>
      <w:szCs w:val="18"/>
    </w:rPr>
  </w:style>
  <w:style w:type="character" w:styleId="Hyperlink">
    <w:name w:val="Hyperlink"/>
    <w:basedOn w:val="DefaultParagraphFont"/>
    <w:uiPriority w:val="99"/>
    <w:unhideWhenUsed/>
    <w:rsid w:val="004603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71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AA4A6-0F46-4E98-9F4E-41C208A0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521</Words>
  <Characters>2768</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4671: Marijuana and Controlled Substance Tax Act - South Carolina Legislature Online</dc:title>
  <dc:creator>sharonpair</dc:creator>
  <cp:lastModifiedBy>S Volk</cp:lastModifiedBy>
  <cp:revision>2</cp:revision>
  <cp:lastPrinted>2018-01-08T21:32:00Z</cp:lastPrinted>
  <dcterms:created xsi:type="dcterms:W3CDTF">2018-01-26T19:44:00Z</dcterms:created>
  <dcterms:modified xsi:type="dcterms:W3CDTF">2018-01-26T19:44:00Z</dcterms:modified>
</cp:coreProperties>
</file>