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C2" w:rsidRDefault="00A660C2" w:rsidP="00A660C2">
      <w:pPr>
        <w:widowControl w:val="0"/>
        <w:jc w:val="center"/>
      </w:pPr>
      <w:r w:rsidRPr="00A660C2">
        <w:rPr>
          <w:b/>
        </w:rPr>
        <w:t>South Carolina General Assembly</w:t>
      </w:r>
    </w:p>
    <w:p w:rsidR="00A660C2" w:rsidRDefault="00A660C2" w:rsidP="00A660C2">
      <w:pPr>
        <w:widowControl w:val="0"/>
        <w:jc w:val="center"/>
      </w:pPr>
      <w:r>
        <w:t>122nd Session, 2017-2018</w:t>
      </w:r>
    </w:p>
    <w:p w:rsidR="00A660C2" w:rsidRDefault="00A660C2" w:rsidP="00A660C2">
      <w:pPr>
        <w:widowControl w:val="0"/>
        <w:jc w:val="left"/>
      </w:pPr>
    </w:p>
    <w:p w:rsidR="00A660C2" w:rsidRDefault="00A660C2" w:rsidP="00A660C2">
      <w:pPr>
        <w:widowControl w:val="0"/>
        <w:jc w:val="left"/>
        <w:rPr>
          <w:b/>
        </w:rPr>
      </w:pPr>
      <w:r w:rsidRPr="00A660C2">
        <w:rPr>
          <w:b/>
        </w:rPr>
        <w:t>H. 5045</w:t>
      </w:r>
    </w:p>
    <w:p w:rsidR="00A660C2" w:rsidRDefault="00A660C2" w:rsidP="00A660C2">
      <w:pPr>
        <w:widowControl w:val="0"/>
        <w:jc w:val="left"/>
        <w:rPr>
          <w:b/>
        </w:rPr>
      </w:pPr>
    </w:p>
    <w:p w:rsidR="00A660C2" w:rsidRDefault="00A660C2" w:rsidP="00A660C2">
      <w:pPr>
        <w:widowControl w:val="0"/>
        <w:jc w:val="left"/>
      </w:pPr>
      <w:r w:rsidRPr="00A660C2">
        <w:rPr>
          <w:b/>
        </w:rPr>
        <w:t>STATUS INFORMATION</w:t>
      </w:r>
    </w:p>
    <w:p w:rsidR="00A660C2" w:rsidRDefault="00A660C2" w:rsidP="00A660C2">
      <w:pPr>
        <w:widowControl w:val="0"/>
        <w:jc w:val="left"/>
      </w:pPr>
    </w:p>
    <w:p w:rsidR="00A660C2" w:rsidRDefault="00A660C2" w:rsidP="00A660C2">
      <w:pPr>
        <w:widowControl w:val="0"/>
        <w:jc w:val="left"/>
      </w:pPr>
      <w:r>
        <w:t>General Bill</w:t>
      </w:r>
    </w:p>
    <w:p w:rsidR="00A660C2" w:rsidRDefault="00A660C2" w:rsidP="00A660C2">
      <w:pPr>
        <w:widowControl w:val="0"/>
        <w:jc w:val="left"/>
      </w:pPr>
      <w:r>
        <w:t>Sponsors: Reps. Sandifer, White and Forrester</w:t>
      </w:r>
    </w:p>
    <w:p w:rsidR="00A660C2" w:rsidRDefault="00A660C2" w:rsidP="00A660C2">
      <w:pPr>
        <w:widowControl w:val="0"/>
        <w:jc w:val="left"/>
      </w:pPr>
      <w:r>
        <w:t>Document Path: l:\council\bills\bh\7202ahb18.docx</w:t>
      </w:r>
    </w:p>
    <w:p w:rsidR="00A660C2" w:rsidRDefault="00A660C2" w:rsidP="00A660C2">
      <w:pPr>
        <w:widowControl w:val="0"/>
        <w:jc w:val="left"/>
      </w:pPr>
    </w:p>
    <w:p w:rsidR="000650D0" w:rsidRDefault="000650D0" w:rsidP="00A660C2">
      <w:pPr>
        <w:widowControl w:val="0"/>
        <w:jc w:val="left"/>
      </w:pPr>
      <w:r>
        <w:t>Introduced in the House on March 1, 2018</w:t>
      </w:r>
    </w:p>
    <w:p w:rsidR="000650D0" w:rsidRDefault="000650D0" w:rsidP="00A660C2">
      <w:pPr>
        <w:widowControl w:val="0"/>
        <w:jc w:val="left"/>
      </w:pPr>
      <w:r>
        <w:t>Continued by the House on April 5, 2018</w:t>
      </w:r>
    </w:p>
    <w:p w:rsidR="000650D0" w:rsidRDefault="000650D0" w:rsidP="00A660C2">
      <w:pPr>
        <w:widowControl w:val="0"/>
        <w:jc w:val="left"/>
      </w:pPr>
    </w:p>
    <w:p w:rsidR="00A660C2" w:rsidRDefault="00A660C2" w:rsidP="00A660C2">
      <w:pPr>
        <w:widowControl w:val="0"/>
        <w:jc w:val="left"/>
      </w:pPr>
      <w:r>
        <w:t xml:space="preserve">Summary: </w:t>
      </w:r>
      <w:r w:rsidR="00FD13FF">
        <w:t>Title 58, Chap. 039, SC Distributed Energy Resource Program</w:t>
      </w:r>
    </w:p>
    <w:p w:rsidR="00A660C2" w:rsidRDefault="00A660C2" w:rsidP="00A660C2">
      <w:pPr>
        <w:widowControl w:val="0"/>
        <w:jc w:val="left"/>
      </w:pPr>
    </w:p>
    <w:p w:rsidR="00A660C2" w:rsidRDefault="00A660C2" w:rsidP="00A660C2">
      <w:pPr>
        <w:widowControl w:val="0"/>
        <w:jc w:val="left"/>
      </w:pPr>
    </w:p>
    <w:p w:rsidR="00A660C2" w:rsidRDefault="00A660C2" w:rsidP="00A660C2">
      <w:pPr>
        <w:widowControl w:val="0"/>
        <w:tabs>
          <w:tab w:val="center" w:pos="590"/>
          <w:tab w:val="center" w:pos="1440"/>
          <w:tab w:val="left" w:pos="1872"/>
          <w:tab w:val="left" w:pos="9187"/>
        </w:tabs>
        <w:jc w:val="left"/>
      </w:pPr>
      <w:r w:rsidRPr="00A660C2">
        <w:rPr>
          <w:b/>
        </w:rPr>
        <w:t>HISTORY OF LEGISLATIVE ACTIONS</w:t>
      </w:r>
    </w:p>
    <w:p w:rsidR="00A660C2" w:rsidRDefault="00A660C2" w:rsidP="00A660C2">
      <w:pPr>
        <w:widowControl w:val="0"/>
        <w:tabs>
          <w:tab w:val="center" w:pos="590"/>
          <w:tab w:val="center" w:pos="1440"/>
          <w:tab w:val="left" w:pos="1872"/>
          <w:tab w:val="left" w:pos="9187"/>
        </w:tabs>
        <w:jc w:val="left"/>
      </w:pPr>
    </w:p>
    <w:p w:rsidR="00A660C2" w:rsidRPr="00A660C2" w:rsidRDefault="00A660C2" w:rsidP="00A660C2">
      <w:pPr>
        <w:widowControl w:val="0"/>
        <w:tabs>
          <w:tab w:val="center" w:pos="590"/>
          <w:tab w:val="center" w:pos="1440"/>
          <w:tab w:val="left" w:pos="1872"/>
          <w:tab w:val="left" w:pos="9187"/>
        </w:tabs>
        <w:jc w:val="left"/>
      </w:pPr>
      <w:r w:rsidRPr="00A660C2">
        <w:rPr>
          <w:u w:val="single"/>
        </w:rPr>
        <w:tab/>
        <w:t>Date</w:t>
      </w:r>
      <w:r w:rsidRPr="00A660C2">
        <w:rPr>
          <w:u w:val="single"/>
        </w:rPr>
        <w:tab/>
        <w:t>Body</w:t>
      </w:r>
      <w:r w:rsidRPr="00A660C2">
        <w:rPr>
          <w:u w:val="single"/>
        </w:rPr>
        <w:tab/>
        <w:t>Action Description with journal page number</w:t>
      </w:r>
      <w:r w:rsidRPr="00A660C2">
        <w:rPr>
          <w:u w:val="single"/>
        </w:rPr>
        <w:tab/>
      </w:r>
    </w:p>
    <w:p w:rsidR="007C1A06" w:rsidRDefault="007C1A06" w:rsidP="007C1A06">
      <w:pPr>
        <w:widowControl w:val="0"/>
        <w:tabs>
          <w:tab w:val="right" w:pos="1008"/>
          <w:tab w:val="left" w:pos="1152"/>
          <w:tab w:val="left" w:pos="1872"/>
          <w:tab w:val="left" w:pos="9187"/>
        </w:tabs>
        <w:ind w:left="2088" w:hanging="2088"/>
        <w:jc w:val="left"/>
      </w:pPr>
      <w:r>
        <w:tab/>
        <w:t>3/1/2018</w:t>
      </w:r>
      <w:r>
        <w:tab/>
        <w:t>House</w:t>
      </w:r>
      <w:r>
        <w:tab/>
      </w:r>
      <w:r w:rsidRPr="005435A1">
        <w:t>Introduced and read first time (</w:t>
      </w:r>
      <w:hyperlink r:id="rId7" w:history="1">
        <w:r w:rsidRPr="005435A1">
          <w:rPr>
            <w:rStyle w:val="Hyperlink"/>
          </w:rPr>
          <w:t>House Journal</w:t>
        </w:r>
        <w:r w:rsidRPr="005435A1">
          <w:rPr>
            <w:rStyle w:val="Hyperlink"/>
          </w:rPr>
          <w:noBreakHyphen/>
          <w:t>page 19</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r>
        <w:tab/>
        <w:t>3/1/2018</w:t>
      </w:r>
      <w:r>
        <w:tab/>
        <w:t>House</w:t>
      </w:r>
      <w:r>
        <w:tab/>
      </w:r>
      <w:r w:rsidRPr="005435A1">
        <w:t>Referred to C</w:t>
      </w:r>
      <w:r>
        <w:t xml:space="preserve">ommittee on </w:t>
      </w:r>
      <w:r w:rsidRPr="005435A1">
        <w:rPr>
          <w:b/>
        </w:rPr>
        <w:t>Labor, Commerce and Industry</w:t>
      </w:r>
      <w:r w:rsidRPr="005435A1">
        <w:t xml:space="preserve"> (</w:t>
      </w:r>
      <w:hyperlink r:id="rId8" w:history="1">
        <w:r w:rsidRPr="005435A1">
          <w:rPr>
            <w:rStyle w:val="Hyperlink"/>
          </w:rPr>
          <w:t>House Journal</w:t>
        </w:r>
        <w:r w:rsidRPr="005435A1">
          <w:rPr>
            <w:rStyle w:val="Hyperlink"/>
          </w:rPr>
          <w:noBreakHyphen/>
          <w:t>page 19</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r>
        <w:tab/>
        <w:t>3/6/2018</w:t>
      </w:r>
      <w:r>
        <w:tab/>
        <w:t>House</w:t>
      </w:r>
      <w:r>
        <w:tab/>
      </w:r>
      <w:r w:rsidRPr="005435A1">
        <w:t xml:space="preserve">Committee report: </w:t>
      </w:r>
      <w:r>
        <w:t xml:space="preserve">Favorable with amendment </w:t>
      </w:r>
      <w:r w:rsidRPr="005435A1">
        <w:rPr>
          <w:b/>
        </w:rPr>
        <w:t>Labor, Commerce and Industry</w:t>
      </w:r>
      <w:r w:rsidRPr="005435A1">
        <w:t xml:space="preserve"> (</w:t>
      </w:r>
      <w:hyperlink r:id="rId9" w:history="1">
        <w:r w:rsidRPr="005435A1">
          <w:rPr>
            <w:rStyle w:val="Hyperlink"/>
          </w:rPr>
          <w:t>House Journal</w:t>
        </w:r>
        <w:r w:rsidRPr="005435A1">
          <w:rPr>
            <w:rStyle w:val="Hyperlink"/>
          </w:rPr>
          <w:noBreakHyphen/>
          <w:t>page 6</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r>
        <w:tab/>
        <w:t>3/8/2018</w:t>
      </w:r>
      <w:r>
        <w:tab/>
        <w:t>House</w:t>
      </w:r>
      <w:r>
        <w:tab/>
      </w:r>
      <w:r w:rsidRPr="005435A1">
        <w:t>Requests for debate</w:t>
      </w:r>
      <w:r>
        <w:noBreakHyphen/>
      </w:r>
      <w:r w:rsidRPr="005435A1">
        <w:t>Rep(s)</w:t>
      </w:r>
      <w:r>
        <w:t>. </w:t>
      </w:r>
      <w:r w:rsidRPr="005435A1">
        <w:t>Sandifer, Hiot</w:t>
      </w:r>
      <w:r>
        <w:t xml:space="preserve">t, </w:t>
      </w:r>
      <w:r w:rsidRPr="005435A1">
        <w:t>Ballentin, Hewi</w:t>
      </w:r>
      <w:r>
        <w:t xml:space="preserve">tt, Hill, West, Willis, Thayer, </w:t>
      </w:r>
      <w:r w:rsidRPr="005435A1">
        <w:t>Toole, Wheel</w:t>
      </w:r>
      <w:r>
        <w:t xml:space="preserve">er, B Newton, Caskey, JE Smith, </w:t>
      </w:r>
      <w:r w:rsidRPr="005435A1">
        <w:t>Knight, McCrav</w:t>
      </w:r>
      <w:r>
        <w:t xml:space="preserve">y, Weeks, Fry, Crawford, Hosey, </w:t>
      </w:r>
      <w:r w:rsidRPr="005435A1">
        <w:t>Kirby, Crosby, Forrester, VS Mos</w:t>
      </w:r>
      <w:r>
        <w:t xml:space="preserve">s, Loftis, </w:t>
      </w:r>
      <w:r w:rsidRPr="005435A1">
        <w:t>Anderson, Magnus</w:t>
      </w:r>
      <w:r>
        <w:t xml:space="preserve">on, Funderburk, Norrell, Young, </w:t>
      </w:r>
      <w:r w:rsidRPr="005435A1">
        <w:t>Martin (</w:t>
      </w:r>
      <w:hyperlink r:id="rId10" w:history="1">
        <w:r w:rsidRPr="005435A1">
          <w:rPr>
            <w:rStyle w:val="Hyperlink"/>
          </w:rPr>
          <w:t>House Journal</w:t>
        </w:r>
        <w:r w:rsidRPr="005435A1">
          <w:rPr>
            <w:rStyle w:val="Hyperlink"/>
          </w:rPr>
          <w:noBreakHyphen/>
          <w:t>page 91</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r>
        <w:tab/>
        <w:t>4/4/2018</w:t>
      </w:r>
      <w:r>
        <w:tab/>
        <w:t>House</w:t>
      </w:r>
      <w:r>
        <w:tab/>
      </w:r>
      <w:r w:rsidRPr="005435A1">
        <w:t>Debat</w:t>
      </w:r>
      <w:r>
        <w:t>e adjourned until Thur., 4</w:t>
      </w:r>
      <w:r>
        <w:noBreakHyphen/>
        <w:t>5</w:t>
      </w:r>
      <w:r>
        <w:noBreakHyphen/>
        <w:t xml:space="preserve">18 </w:t>
      </w:r>
      <w:r w:rsidRPr="005435A1">
        <w:t>(</w:t>
      </w:r>
      <w:hyperlink r:id="rId11" w:history="1">
        <w:r w:rsidRPr="005435A1">
          <w:rPr>
            <w:rStyle w:val="Hyperlink"/>
          </w:rPr>
          <w:t>House Journal</w:t>
        </w:r>
        <w:r w:rsidRPr="005435A1">
          <w:rPr>
            <w:rStyle w:val="Hyperlink"/>
          </w:rPr>
          <w:noBreakHyphen/>
          <w:t>page 66</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r>
        <w:tab/>
        <w:t>4/5/2018</w:t>
      </w:r>
      <w:r>
        <w:tab/>
        <w:t>House</w:t>
      </w:r>
      <w:r>
        <w:tab/>
      </w:r>
      <w:r w:rsidRPr="005435A1">
        <w:t>Continued (</w:t>
      </w:r>
      <w:hyperlink r:id="rId12" w:history="1">
        <w:r w:rsidRPr="005435A1">
          <w:rPr>
            <w:rStyle w:val="Hyperlink"/>
          </w:rPr>
          <w:t>House Journal</w:t>
        </w:r>
        <w:r w:rsidRPr="005435A1">
          <w:rPr>
            <w:rStyle w:val="Hyperlink"/>
          </w:rPr>
          <w:noBreakHyphen/>
          <w:t>page 48</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r>
        <w:tab/>
        <w:t>4/5/2018</w:t>
      </w:r>
      <w:r>
        <w:tab/>
        <w:t>House</w:t>
      </w:r>
      <w:r>
        <w:tab/>
      </w:r>
      <w:r w:rsidRPr="005435A1">
        <w:t>Roll call Yeas</w:t>
      </w:r>
      <w:r>
        <w:noBreakHyphen/>
      </w:r>
      <w:r w:rsidRPr="005435A1">
        <w:t>61  Nays</w:t>
      </w:r>
      <w:r>
        <w:noBreakHyphen/>
      </w:r>
      <w:r w:rsidRPr="005435A1">
        <w:t>39 (</w:t>
      </w:r>
      <w:hyperlink r:id="rId13" w:history="1">
        <w:r w:rsidRPr="005435A1">
          <w:rPr>
            <w:rStyle w:val="Hyperlink"/>
          </w:rPr>
          <w:t>House Journal</w:t>
        </w:r>
        <w:r w:rsidRPr="005435A1">
          <w:rPr>
            <w:rStyle w:val="Hyperlink"/>
          </w:rPr>
          <w:noBreakHyphen/>
          <w:t>page 63</w:t>
        </w:r>
      </w:hyperlink>
      <w:r w:rsidRPr="005435A1">
        <w:t>)</w:t>
      </w:r>
    </w:p>
    <w:p w:rsidR="007C1A06" w:rsidRDefault="007C1A06" w:rsidP="007C1A06">
      <w:pPr>
        <w:widowControl w:val="0"/>
        <w:tabs>
          <w:tab w:val="right" w:pos="1008"/>
          <w:tab w:val="left" w:pos="1152"/>
          <w:tab w:val="left" w:pos="1872"/>
          <w:tab w:val="left" w:pos="9187"/>
        </w:tabs>
        <w:ind w:left="2088" w:hanging="2088"/>
        <w:jc w:val="left"/>
      </w:pPr>
    </w:p>
    <w:p w:rsidR="00A660C2" w:rsidRDefault="00A660C2" w:rsidP="00A660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A660C2">
          <w:rPr>
            <w:rStyle w:val="Hyperlink"/>
          </w:rPr>
          <w:t>legislative information</w:t>
        </w:r>
      </w:hyperlink>
      <w:r>
        <w:t xml:space="preserve"> at the website</w:t>
      </w:r>
    </w:p>
    <w:p w:rsidR="00A660C2" w:rsidRDefault="00A660C2" w:rsidP="00A660C2">
      <w:pPr>
        <w:widowControl w:val="0"/>
        <w:tabs>
          <w:tab w:val="right" w:pos="1008"/>
          <w:tab w:val="left" w:pos="1152"/>
          <w:tab w:val="left" w:pos="1872"/>
          <w:tab w:val="left" w:pos="9187"/>
        </w:tabs>
        <w:ind w:left="2088" w:hanging="2088"/>
        <w:jc w:val="left"/>
      </w:pPr>
    </w:p>
    <w:p w:rsidR="00A660C2" w:rsidRPr="00A660C2" w:rsidRDefault="00A660C2" w:rsidP="00A660C2">
      <w:pPr>
        <w:widowControl w:val="0"/>
        <w:tabs>
          <w:tab w:val="right" w:pos="1008"/>
          <w:tab w:val="left" w:pos="1152"/>
          <w:tab w:val="left" w:pos="1872"/>
          <w:tab w:val="left" w:pos="9187"/>
        </w:tabs>
        <w:ind w:left="2088" w:hanging="2088"/>
        <w:jc w:val="left"/>
      </w:pPr>
    </w:p>
    <w:p w:rsidR="00A660C2" w:rsidRDefault="00A660C2" w:rsidP="00A660C2">
      <w:pPr>
        <w:widowControl w:val="0"/>
        <w:jc w:val="left"/>
      </w:pPr>
      <w:r w:rsidRPr="00A660C2">
        <w:rPr>
          <w:b/>
        </w:rPr>
        <w:t>VERSIONS OF THIS BILL</w:t>
      </w:r>
    </w:p>
    <w:p w:rsidR="00A660C2" w:rsidRDefault="00A660C2" w:rsidP="00A660C2">
      <w:pPr>
        <w:widowControl w:val="0"/>
        <w:jc w:val="left"/>
      </w:pPr>
    </w:p>
    <w:p w:rsidR="00A660C2" w:rsidRDefault="0017537F" w:rsidP="00A660C2">
      <w:pPr>
        <w:widowControl w:val="0"/>
        <w:jc w:val="left"/>
      </w:pPr>
      <w:hyperlink r:id="rId15" w:history="1">
        <w:r w:rsidR="00A660C2">
          <w:rPr>
            <w:rStyle w:val="Hyperlink"/>
          </w:rPr>
          <w:t>3/1/2018</w:t>
        </w:r>
      </w:hyperlink>
    </w:p>
    <w:p w:rsidR="00A660C2" w:rsidRDefault="0017537F" w:rsidP="00A660C2">
      <w:hyperlink r:id="rId16" w:history="1">
        <w:r w:rsidR="00F46BCB" w:rsidRPr="00F46BCB">
          <w:rPr>
            <w:rStyle w:val="Hyperlink"/>
          </w:rPr>
          <w:t>3/6/2018</w:t>
        </w:r>
      </w:hyperlink>
    </w:p>
    <w:p w:rsidR="00F46BCB" w:rsidRDefault="00F46BCB" w:rsidP="00A660C2"/>
    <w:p w:rsidR="00A660C2" w:rsidRDefault="00A660C2" w:rsidP="00A660C2">
      <w:pPr>
        <w:sectPr w:rsidR="00A660C2" w:rsidSect="00A660C2">
          <w:pgSz w:w="12240" w:h="15840" w:code="1"/>
          <w:pgMar w:top="1080" w:right="1440" w:bottom="1080" w:left="1440" w:header="720" w:footer="720" w:gutter="0"/>
          <w:cols w:space="720"/>
          <w:noEndnote/>
          <w:docGrid w:linePitch="360"/>
        </w:sectPr>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46BCB" w:rsidRPr="000D5E57"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Pr="000D5E57" w:rsidRDefault="00F46BCB" w:rsidP="000D5E57">
      <w:pPr>
        <w:tabs>
          <w:tab w:val="right" w:pos="5933"/>
        </w:tabs>
        <w:suppressAutoHyphens/>
      </w:pPr>
      <w:r>
        <w:tab/>
      </w:r>
      <w:r>
        <w:rPr>
          <w:b/>
          <w:sz w:val="36"/>
        </w:rPr>
        <w:t>H. 5045</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3454">
        <w:t>Reps. Sandifer, White and Forrester</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3/6/18--H.</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F46BCB" w:rsidRPr="000D5E57"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46BCB" w:rsidRPr="000D5E57"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5045) to amend the Code of Laws of South Carolina, 1976, by repealing Chapters 39 and 40 of Title 58 relating to the South Carolina distributed energy resource program, etc., respectfully</w:t>
      </w:r>
    </w:p>
    <w:p w:rsidR="00F46BCB" w:rsidRPr="000D5E57"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E54">
        <w:t>Amend the bill, as and if amended, by striking all after the enacting clause and inserting:</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71E54">
        <w:t>/</w:t>
      </w:r>
      <w:r w:rsidRPr="00871E54">
        <w:tab/>
      </w:r>
      <w:r w:rsidRPr="00871E54">
        <w:rPr>
          <w:u w:color="000000" w:themeColor="text1"/>
        </w:rPr>
        <w:t>SECTION</w:t>
      </w:r>
      <w:r w:rsidRPr="00871E54">
        <w:rPr>
          <w:u w:color="000000" w:themeColor="text1"/>
        </w:rPr>
        <w:tab/>
        <w:t>1.</w:t>
      </w:r>
      <w:r w:rsidRPr="00871E54">
        <w:rPr>
          <w:u w:color="000000" w:themeColor="text1"/>
        </w:rPr>
        <w:tab/>
        <w:t>Whereas, the General Assembly passed Act 236 of 2014 to promote the establishment of a reliable, efficient, and diversified portfolio of distributed energy resources for the State; and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General Assembly finds that Act 236 of 2014 successfully resulted in the rapid development and expansion of the solar power marketplace in this State; and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General Assembly finds it necessary to preserve the important role of the emerging solar industry as it becomes sustainable, without subsidies, in our diversifying energy market; and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Public Service Commission approved in Order 2015</w:t>
      </w:r>
      <w:r w:rsidRPr="00871E54">
        <w:rPr>
          <w:u w:color="000000" w:themeColor="text1"/>
        </w:rPr>
        <w:noBreakHyphen/>
        <w:t>194 a settlement agreement that provides for a 1:1 kilowatt hour (</w:t>
      </w:r>
      <w:bookmarkStart w:id="1" w:name="temp"/>
      <w:bookmarkEnd w:id="1"/>
      <w:r w:rsidRPr="00871E54">
        <w:rPr>
          <w:u w:color="000000" w:themeColor="text1"/>
        </w:rPr>
        <w:t>“kWh”) crediting rate (“1:1 Rate”) whereby each kWh of electricity produced by a customer</w:t>
      </w:r>
      <w:r w:rsidRPr="00871E54">
        <w:rPr>
          <w:u w:color="000000" w:themeColor="text1"/>
        </w:rPr>
        <w:noBreakHyphen/>
        <w:t xml:space="preserve">generator is credited at the full retail rate; and, </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871E54">
        <w:rPr>
          <w:u w:color="000000" w:themeColor="text1"/>
        </w:rPr>
        <w:t>Whereas, the General Assembly finds that Order 2015-194 contradicts Act 236 of 2014 by crediting electricity produced by a customer-generator at the retail rate as opposed to the utility’s avoided cost provided for in Act 236 of 2014; and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Whereas, the General Assembly finds that with the goal of Act 236 of 2014 being accomplished, it is necessary to move away from subsidies so that nonparticipants in net energy metering programs are not required to subsidize net energy metering program participants.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SECTION</w:t>
      </w:r>
      <w:r w:rsidRPr="00871E54">
        <w:rPr>
          <w:u w:color="000000" w:themeColor="text1"/>
        </w:rPr>
        <w:tab/>
        <w:t>2.</w:t>
      </w:r>
      <w:r w:rsidRPr="00871E54">
        <w:rPr>
          <w:u w:color="000000" w:themeColor="text1"/>
        </w:rPr>
        <w:tab/>
        <w:t>Section 58</w:t>
      </w:r>
      <w:r w:rsidRPr="00871E54">
        <w:rPr>
          <w:u w:color="000000" w:themeColor="text1"/>
        </w:rPr>
        <w:noBreakHyphen/>
        <w:t>40</w:t>
      </w:r>
      <w:r w:rsidRPr="00871E54">
        <w:rPr>
          <w:u w:color="000000" w:themeColor="text1"/>
        </w:rPr>
        <w:noBreakHyphen/>
        <w:t>10 of the 1976 Code is amended by adding an appropriately lettered subsection at the end to read: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w:t>
      </w:r>
      <w:r w:rsidRPr="00871E54">
        <w:rPr>
          <w:u w:val="single" w:color="000000" w:themeColor="text1"/>
        </w:rPr>
        <w:t>(_)</w:t>
      </w:r>
      <w:r w:rsidRPr="00871E54">
        <w:rPr>
          <w:u w:color="000000" w:themeColor="text1"/>
        </w:rPr>
        <w:tab/>
      </w:r>
      <w:r w:rsidRPr="00871E54">
        <w:rPr>
          <w:u w:val="single" w:color="000000" w:themeColor="text1"/>
        </w:rPr>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the costs are to be calculated as set forth in Section 58</w:t>
      </w:r>
      <w:r w:rsidRPr="00871E54">
        <w:rPr>
          <w:u w:val="single" w:color="000000" w:themeColor="text1"/>
        </w:rPr>
        <w:noBreakHyphen/>
        <w:t>39</w:t>
      </w:r>
      <w:r w:rsidRPr="00871E54">
        <w:rPr>
          <w:u w:val="single" w:color="000000" w:themeColor="text1"/>
        </w:rPr>
        <w:noBreakHyphen/>
        <w:t>140(A)(1).</w:t>
      </w:r>
      <w:r w:rsidRPr="00871E54">
        <w:rPr>
          <w:u w:color="000000" w:themeColor="text1"/>
        </w:rPr>
        <w:t>”</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SECTION</w:t>
      </w:r>
      <w:r w:rsidRPr="00871E54">
        <w:rPr>
          <w:u w:color="000000" w:themeColor="text1"/>
        </w:rPr>
        <w:tab/>
        <w:t>3.</w:t>
      </w:r>
      <w:r w:rsidRPr="00871E54">
        <w:rPr>
          <w:u w:color="000000" w:themeColor="text1"/>
        </w:rPr>
        <w:tab/>
        <w:t>Section 58</w:t>
      </w:r>
      <w:r w:rsidRPr="00871E54">
        <w:rPr>
          <w:u w:color="000000" w:themeColor="text1"/>
        </w:rPr>
        <w:noBreakHyphen/>
        <w:t>40</w:t>
      </w:r>
      <w:r w:rsidRPr="00871E54">
        <w:rPr>
          <w:u w:color="000000" w:themeColor="text1"/>
        </w:rPr>
        <w:noBreakHyphen/>
        <w:t>20 of the 1976 Code is amended to read: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“Section 58</w:t>
      </w:r>
      <w:r w:rsidRPr="00871E54">
        <w:rPr>
          <w:u w:color="000000" w:themeColor="text1"/>
        </w:rPr>
        <w:noBreakHyphen/>
        <w:t>40</w:t>
      </w:r>
      <w:r w:rsidRPr="00871E54">
        <w:rPr>
          <w:u w:color="000000" w:themeColor="text1"/>
        </w:rPr>
        <w:noBreakHyphen/>
        <w:t>20.</w:t>
      </w:r>
      <w:r w:rsidRPr="00871E54">
        <w:rPr>
          <w:u w:color="000000" w:themeColor="text1"/>
        </w:rPr>
        <w:tab/>
        <w:t>(A)</w:t>
      </w:r>
      <w:r w:rsidRPr="00871E54">
        <w:rPr>
          <w:u w:color="000000" w:themeColor="text1"/>
        </w:rPr>
        <w:tab/>
        <w:t xml:space="preserve">Net energy metering rates approved by the commission under the terms of this chapter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the exclusive net energy metering rates available to customer</w:t>
      </w:r>
      <w:r w:rsidRPr="00871E54">
        <w:rPr>
          <w:u w:color="000000" w:themeColor="text1"/>
        </w:rPr>
        <w:noBreakHyphen/>
        <w:t xml:space="preserve">generators.  Upon commission approval,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net energy metering rates shall supersede all prior net energy metering rates.  Customer</w:t>
      </w:r>
      <w:r w:rsidRPr="00871E54">
        <w:rPr>
          <w:u w:color="000000" w:themeColor="text1"/>
        </w:rPr>
        <w:noBreakHyphen/>
        <w:t xml:space="preserve">generators whose net energy metering facilities were energized prior to the availability of net energy metering rates approved by the commission under the terms of this chapter may remain in historic net energy metering programs through December 31, 2020.  </w:t>
      </w:r>
      <w:r w:rsidRPr="00871E54">
        <w:rPr>
          <w:u w:val="single" w:color="000000" w:themeColor="text1"/>
        </w:rPr>
        <w:t>Customer</w:t>
      </w:r>
      <w:r w:rsidRPr="00871E54">
        <w:rPr>
          <w:u w:val="single" w:color="000000" w:themeColor="text1"/>
        </w:rPr>
        <w:noBreakHyphen/>
        <w:t>generators whose net metering facilities were energized prior to the effective date of this act under net energy metering rates approved by the commission pursuant to the terms of this chapter and in Order 2015</w:t>
      </w:r>
      <w:r w:rsidRPr="00871E54">
        <w:rPr>
          <w:u w:val="single" w:color="000000" w:themeColor="text1"/>
        </w:rPr>
        <w:noBreakHyphen/>
        <w:t>194 may remain in effect through December 31, 2025.</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(B)</w:t>
      </w:r>
      <w:r w:rsidRPr="00871E54">
        <w:rPr>
          <w:u w:color="000000" w:themeColor="text1"/>
        </w:rPr>
        <w:tab/>
        <w:t>An electrical utility shall make net energy metering available to customer</w:t>
      </w:r>
      <w:r w:rsidRPr="00871E54">
        <w:rPr>
          <w:u w:color="000000" w:themeColor="text1"/>
        </w:rPr>
        <w:noBreakHyphen/>
        <w:t>generators on a first</w:t>
      </w:r>
      <w:r w:rsidRPr="00871E54">
        <w:rPr>
          <w:u w:color="000000" w:themeColor="text1"/>
        </w:rPr>
        <w:noBreakHyphen/>
        <w:t>come, first</w:t>
      </w:r>
      <w:r w:rsidRPr="00871E54">
        <w:rPr>
          <w:u w:color="000000" w:themeColor="text1"/>
        </w:rPr>
        <w:noBreakHyphen/>
        <w:t xml:space="preserve">served basis until the total nameplate generating capacity of net energy metering systems equals </w:t>
      </w:r>
      <w:r w:rsidRPr="00871E54">
        <w:rPr>
          <w:strike/>
          <w:u w:color="000000" w:themeColor="text1"/>
        </w:rPr>
        <w:t>two</w:t>
      </w:r>
      <w:r w:rsidRPr="00871E54">
        <w:rPr>
          <w:u w:color="000000" w:themeColor="text1"/>
        </w:rPr>
        <w:t xml:space="preserve"> </w:t>
      </w:r>
      <w:r w:rsidRPr="00871E54">
        <w:rPr>
          <w:u w:val="single" w:color="000000" w:themeColor="text1"/>
        </w:rPr>
        <w:t>four</w:t>
      </w:r>
      <w:r w:rsidRPr="00871E54">
        <w:rPr>
          <w:u w:color="000000" w:themeColor="text1"/>
        </w:rPr>
        <w:t xml:space="preserve"> percent of the previous five</w:t>
      </w:r>
      <w:r w:rsidRPr="00871E54">
        <w:rPr>
          <w:u w:color="000000" w:themeColor="text1"/>
        </w:rPr>
        <w:noBreakHyphen/>
        <w:t xml:space="preserve">year average of the electrical utility’s South Carolina retail peak demand.  No electrical utility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required to approve </w:t>
      </w:r>
      <w:r w:rsidRPr="00871E54">
        <w:rPr>
          <w:strike/>
          <w:u w:color="000000" w:themeColor="text1"/>
        </w:rPr>
        <w:t>any</w:t>
      </w:r>
      <w:r w:rsidRPr="00871E54">
        <w:rPr>
          <w:u w:color="000000" w:themeColor="text1"/>
        </w:rPr>
        <w:t xml:space="preserve"> </w:t>
      </w:r>
      <w:r w:rsidRPr="00871E54">
        <w:rPr>
          <w:u w:val="single" w:color="000000" w:themeColor="text1"/>
        </w:rPr>
        <w:t>an</w:t>
      </w:r>
      <w:r w:rsidRPr="00871E54">
        <w:rPr>
          <w:u w:color="000000" w:themeColor="text1"/>
        </w:rPr>
        <w:t xml:space="preserve"> application for interconnection from net energy metering customer</w:t>
      </w:r>
      <w:r w:rsidRPr="00871E54">
        <w:rPr>
          <w:u w:color="000000" w:themeColor="text1"/>
        </w:rPr>
        <w:noBreakHyphen/>
        <w:t>generators if the total rated generating capacity of all applications for interconnection from net energy metering customer</w:t>
      </w:r>
      <w:r w:rsidRPr="00871E54">
        <w:rPr>
          <w:u w:color="000000" w:themeColor="text1"/>
        </w:rPr>
        <w:noBreakHyphen/>
        <w:t xml:space="preserve">generators already approved to date by the electrical utility equals or exceeds </w:t>
      </w:r>
      <w:r w:rsidRPr="00871E54">
        <w:rPr>
          <w:strike/>
          <w:u w:color="000000" w:themeColor="text1"/>
        </w:rPr>
        <w:t>two</w:t>
      </w:r>
      <w:r w:rsidRPr="00871E54">
        <w:rPr>
          <w:u w:color="000000" w:themeColor="text1"/>
        </w:rPr>
        <w:t xml:space="preserve"> </w:t>
      </w:r>
      <w:r w:rsidRPr="00871E54">
        <w:rPr>
          <w:u w:val="single" w:color="000000" w:themeColor="text1"/>
        </w:rPr>
        <w:t>four</w:t>
      </w:r>
      <w:r w:rsidRPr="00871E54">
        <w:rPr>
          <w:u w:color="000000" w:themeColor="text1"/>
        </w:rPr>
        <w:t xml:space="preserve"> percent of the previous five</w:t>
      </w:r>
      <w:r w:rsidRPr="00871E54">
        <w:rPr>
          <w:u w:color="000000" w:themeColor="text1"/>
        </w:rPr>
        <w:noBreakHyphen/>
        <w:t>year average of the electrical utility’s South Carolina retail peak demand.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(C)</w:t>
      </w:r>
      <w:r w:rsidRPr="00871E54">
        <w:rPr>
          <w:u w:color="000000" w:themeColor="text1"/>
        </w:rPr>
        <w:tab/>
        <w:t>If determined to be prudent by the commission, the electrical utility may furnish, install, own, and maintain metering equipment needed to measure the kilowatt</w:t>
      </w:r>
      <w:r w:rsidRPr="00871E54">
        <w:rPr>
          <w:u w:color="000000" w:themeColor="text1"/>
        </w:rPr>
        <w:noBreakHyphen/>
        <w:t>hours purchased by the customer</w:t>
      </w:r>
      <w:r w:rsidRPr="00871E54">
        <w:rPr>
          <w:u w:color="000000" w:themeColor="text1"/>
        </w:rPr>
        <w:noBreakHyphen/>
        <w:t>generator from the utility, the kilowatt</w:t>
      </w:r>
      <w:r w:rsidRPr="00871E54">
        <w:rPr>
          <w:u w:color="000000" w:themeColor="text1"/>
        </w:rPr>
        <w:noBreakHyphen/>
        <w:t>hours generated or delivered to the electrical utility, and, if applicable under the utility’s tariffs, to measure the kilowatt demand delivered by the electrical utility to the customer</w:t>
      </w:r>
      <w:r w:rsidRPr="00871E54">
        <w:rPr>
          <w:u w:color="000000" w:themeColor="text1"/>
        </w:rPr>
        <w:noBreakHyphen/>
        <w:t xml:space="preserve">generator. The electrical utility </w:t>
      </w:r>
      <w:r w:rsidRPr="00871E54">
        <w:rPr>
          <w:strike/>
          <w:u w:color="000000" w:themeColor="text1"/>
        </w:rPr>
        <w:t>shall have</w:t>
      </w:r>
      <w:r w:rsidRPr="00871E54">
        <w:rPr>
          <w:u w:color="000000" w:themeColor="text1"/>
        </w:rPr>
        <w:t xml:space="preserve"> </w:t>
      </w:r>
      <w:r w:rsidRPr="00871E54">
        <w:rPr>
          <w:u w:val="single" w:color="000000" w:themeColor="text1"/>
        </w:rPr>
        <w:t>has</w:t>
      </w:r>
      <w:r w:rsidRPr="00871E54">
        <w:rPr>
          <w:u w:color="000000" w:themeColor="text1"/>
        </w:rPr>
        <w:t xml:space="preserve"> the right to install special metering and load research devices on the customer</w:t>
      </w:r>
      <w:r w:rsidRPr="00871E54">
        <w:rPr>
          <w:u w:color="000000" w:themeColor="text1"/>
        </w:rPr>
        <w:noBreakHyphen/>
        <w:t>generator’s equipment and the right to use the customer</w:t>
      </w:r>
      <w:r w:rsidRPr="00871E54">
        <w:rPr>
          <w:u w:color="000000" w:themeColor="text1"/>
        </w:rPr>
        <w:noBreakHyphen/>
        <w:t>generator’s communication devices for communication with electrical utility’s and the customer</w:t>
      </w:r>
      <w:r w:rsidRPr="00871E54">
        <w:rPr>
          <w:u w:color="000000" w:themeColor="text1"/>
        </w:rPr>
        <w:noBreakHyphen/>
        <w:t>generator’s equipment.</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(D)</w:t>
      </w:r>
      <w:r w:rsidRPr="00871E54">
        <w:rPr>
          <w:u w:color="000000" w:themeColor="text1"/>
        </w:rPr>
        <w:tab/>
        <w:t xml:space="preserve">The net electrical energy measurement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calculated in the following manner:</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E54">
        <w:rPr>
          <w:u w:color="000000" w:themeColor="text1"/>
        </w:rPr>
        <w:tab/>
      </w:r>
      <w:r w:rsidRPr="00871E54">
        <w:rPr>
          <w:u w:color="000000" w:themeColor="text1"/>
        </w:rPr>
        <w:tab/>
        <w:t>(1)</w:t>
      </w:r>
      <w:r w:rsidRPr="00871E54">
        <w:rPr>
          <w:u w:color="000000" w:themeColor="text1"/>
        </w:rPr>
        <w:tab/>
        <w:t>For a customer</w:t>
      </w:r>
      <w:r w:rsidRPr="00871E54">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871E54">
        <w:rPr>
          <w:u w:color="000000" w:themeColor="text1"/>
        </w:rPr>
        <w:noBreakHyphen/>
        <w:t>generator’s consumption and production of electricity</w:t>
      </w:r>
      <w:r w:rsidRPr="00871E54">
        <w:rPr>
          <w:strike/>
          <w:u w:color="000000" w:themeColor="text1"/>
        </w:rPr>
        <w:t>;</w:t>
      </w:r>
      <w:r w:rsidRPr="00871E54">
        <w:rPr>
          <w:u w:val="single" w:color="000000" w:themeColor="text1"/>
        </w:rPr>
        <w:t>. Each kilowatt</w:t>
      </w:r>
      <w:r w:rsidRPr="00871E54">
        <w:rPr>
          <w:u w:val="single" w:color="000000" w:themeColor="text1"/>
        </w:rPr>
        <w:noBreakHyphen/>
        <w:t>hour of electricity generated by the customer</w:t>
      </w:r>
      <w:r w:rsidRPr="00871E54">
        <w:rPr>
          <w:u w:val="single" w:color="000000" w:themeColor="text1"/>
        </w:rPr>
        <w:noBreakHyphen/>
        <w:t>generator must be valued, accounted for, and credited at the utility’s avoided cost;</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(2)</w:t>
      </w:r>
      <w:r w:rsidRPr="00871E54">
        <w:rPr>
          <w:u w:color="000000" w:themeColor="text1"/>
        </w:rPr>
        <w:tab/>
        <w:t>If the electricity supplied by the electrical utility exceeds the electricity generated by the customer</w:t>
      </w:r>
      <w:r w:rsidRPr="00871E54">
        <w:rPr>
          <w:u w:color="000000" w:themeColor="text1"/>
        </w:rPr>
        <w:noBreakHyphen/>
        <w:t>generator during a billing period, the customer</w:t>
      </w:r>
      <w:r w:rsidRPr="00871E54">
        <w:rPr>
          <w:u w:color="000000" w:themeColor="text1"/>
        </w:rPr>
        <w:noBreakHyphen/>
        <w:t xml:space="preserve">generator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billed for the net electricity supplied by the electrical utility in accordance with normal practices for customers in the same rate class;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(3)</w:t>
      </w:r>
      <w:r w:rsidRPr="00871E54">
        <w:rPr>
          <w:u w:color="000000" w:themeColor="text1"/>
        </w:rPr>
        <w:tab/>
        <w:t>Any energy generated by the customer</w:t>
      </w:r>
      <w:r w:rsidRPr="00871E54">
        <w:rPr>
          <w:u w:color="000000" w:themeColor="text1"/>
        </w:rPr>
        <w:noBreakHyphen/>
        <w:t xml:space="preserve">generator that exceeds the energy supplied by the electrical utility during a billing period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not be used to offset the nonvolumetric electricity charges for that billing period;</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(4)</w:t>
      </w:r>
      <w:r w:rsidRPr="00871E54">
        <w:rPr>
          <w:u w:color="000000" w:themeColor="text1"/>
        </w:rPr>
        <w:tab/>
        <w:t>The utility shall maintain an account of any net excess kWh credits accruing from the customer</w:t>
      </w:r>
      <w:r w:rsidRPr="00871E54">
        <w:rPr>
          <w:u w:color="000000" w:themeColor="text1"/>
        </w:rPr>
        <w:noBreakHyphen/>
        <w:t>generator’s excess generation and allow those kWh credits to be used to offset the customer</w:t>
      </w:r>
      <w:r w:rsidRPr="00871E54">
        <w:rPr>
          <w:u w:color="000000" w:themeColor="text1"/>
        </w:rPr>
        <w:noBreakHyphen/>
        <w:t xml:space="preserve">generator’s energy usage during future billing periods </w:t>
      </w:r>
      <w:r w:rsidRPr="00871E54">
        <w:rPr>
          <w:u w:val="single" w:color="000000" w:themeColor="text1"/>
        </w:rPr>
        <w:t>at the utility’s avoided cost</w:t>
      </w:r>
      <w:r w:rsidRPr="00871E54">
        <w:rPr>
          <w:u w:color="000000" w:themeColor="text1"/>
        </w:rPr>
        <w:t>.  Annually, the utility shall pay the customer</w:t>
      </w:r>
      <w:r w:rsidRPr="00871E54">
        <w:rPr>
          <w:u w:color="000000" w:themeColor="text1"/>
        </w:rPr>
        <w:noBreakHyphen/>
        <w:t>generator for any accrued net excess generation at the utility’s avoided cost for qualified facilities, zeroing out the customer</w:t>
      </w:r>
      <w:r w:rsidRPr="00871E54">
        <w:rPr>
          <w:u w:color="000000" w:themeColor="text1"/>
        </w:rPr>
        <w:noBreakHyphen/>
        <w:t>generator’s account of net excess kWh credits.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(E)</w:t>
      </w:r>
      <w:r w:rsidRPr="00871E54">
        <w:rPr>
          <w:u w:color="000000" w:themeColor="text1"/>
        </w:rPr>
        <w:tab/>
        <w:t>Each electrical utility shall submit an annual net metering report to the Public Service Commission, with a copy to the Office of Regulatory Staff, including the following information for the previous calendar year:</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(1)</w:t>
      </w:r>
      <w:r w:rsidRPr="00871E54">
        <w:rPr>
          <w:u w:color="000000" w:themeColor="text1"/>
        </w:rPr>
        <w:tab/>
        <w:t>the total number of customer</w:t>
      </w:r>
      <w:r w:rsidRPr="00871E54">
        <w:rPr>
          <w:u w:color="000000" w:themeColor="text1"/>
        </w:rPr>
        <w:noBreakHyphen/>
        <w:t>generator facilities;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(2)</w:t>
      </w:r>
      <w:r w:rsidRPr="00871E54">
        <w:rPr>
          <w:u w:color="000000" w:themeColor="text1"/>
        </w:rPr>
        <w:tab/>
        <w:t>the estimated gross generating capacity of its net</w:t>
      </w:r>
      <w:r w:rsidRPr="00871E54">
        <w:rPr>
          <w:u w:color="000000" w:themeColor="text1"/>
        </w:rPr>
        <w:noBreakHyphen/>
        <w:t>metered customer</w:t>
      </w:r>
      <w:r w:rsidRPr="00871E54">
        <w:rPr>
          <w:u w:color="000000" w:themeColor="text1"/>
        </w:rPr>
        <w:noBreakHyphen/>
        <w:t>generators;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(3)</w:t>
      </w:r>
      <w:r w:rsidRPr="00871E54">
        <w:rPr>
          <w:u w:color="000000" w:themeColor="text1"/>
        </w:rPr>
        <w:tab/>
        <w:t>the estimated net kilowatt hours received from customer</w:t>
      </w:r>
      <w:r w:rsidRPr="00871E54">
        <w:rPr>
          <w:u w:color="000000" w:themeColor="text1"/>
        </w:rPr>
        <w:noBreakHyphen/>
        <w:t>generators.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(F)</w:t>
      </w:r>
      <w:r w:rsidRPr="00871E54">
        <w:rPr>
          <w:u w:color="000000" w:themeColor="text1"/>
        </w:rPr>
        <w:tab/>
        <w:t>Any and all costs prudently incurred pursuant to the provisions of this chapter by an electrical utility as approved by the commission and any and all commission approved benefits conferred by a customer</w:t>
      </w:r>
      <w:r w:rsidRPr="00871E54">
        <w:rPr>
          <w:u w:color="000000" w:themeColor="text1"/>
        </w:rPr>
        <w:noBreakHyphen/>
        <w:t xml:space="preserve">generator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recoverable by each entity respectively in the electrical utility’s rates in accordance with these provisions: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(1)</w:t>
      </w:r>
      <w:r w:rsidRPr="00871E54">
        <w:rPr>
          <w:u w:color="000000" w:themeColor="text1"/>
        </w:rPr>
        <w:tab/>
        <w:t xml:space="preserve">The electrical utility’s general rates, tariffs, and any additional monthly charges or credits, in addition to any other charges or credits authorized by law, to recover the costs and confer the benefits of net energy metering shall include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measures necessary to ensure that the electrical utility recovers its cost of providing electrical service to customer</w:t>
      </w:r>
      <w:r w:rsidRPr="00871E54">
        <w:rPr>
          <w:u w:color="000000" w:themeColor="text1"/>
        </w:rPr>
        <w:noBreakHyphen/>
        <w:t>generators and customers who are not customer</w:t>
      </w:r>
      <w:r w:rsidRPr="00871E54">
        <w:rPr>
          <w:u w:color="000000" w:themeColor="text1"/>
        </w:rPr>
        <w:noBreakHyphen/>
        <w:t>generators.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(2)</w:t>
      </w:r>
      <w:r w:rsidRPr="00871E54">
        <w:rPr>
          <w:u w:color="000000" w:themeColor="text1"/>
        </w:rPr>
        <w:tab/>
        <w:t xml:space="preserve">Any charges or credits prescribed in item (1), and the terms and conditions under which they may be assessed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in accordance with a methodology established through the proceeding described in item (4).  The methodology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supported by an analysis and calculation of the relative benefits and costs of customer generation to the electrical utility, the customer</w:t>
      </w:r>
      <w:r w:rsidRPr="00871E54">
        <w:rPr>
          <w:u w:color="000000" w:themeColor="text1"/>
        </w:rPr>
        <w:noBreakHyphen/>
        <w:t xml:space="preserve">generators, and those customers of the electrical utility </w:t>
      </w:r>
      <w:r w:rsidRPr="00871E54">
        <w:rPr>
          <w:strike/>
          <w:u w:color="000000" w:themeColor="text1"/>
        </w:rPr>
        <w:t>that</w:t>
      </w:r>
      <w:r w:rsidRPr="00871E54">
        <w:rPr>
          <w:u w:color="000000" w:themeColor="text1"/>
        </w:rPr>
        <w:t xml:space="preserve"> </w:t>
      </w:r>
      <w:r w:rsidRPr="00871E54">
        <w:rPr>
          <w:u w:val="single" w:color="000000" w:themeColor="text1"/>
        </w:rPr>
        <w:t>who</w:t>
      </w:r>
      <w:r w:rsidRPr="00871E54">
        <w:rPr>
          <w:u w:color="000000" w:themeColor="text1"/>
        </w:rPr>
        <w:t xml:space="preserve"> are not customer</w:t>
      </w:r>
      <w:r w:rsidRPr="00871E54">
        <w:rPr>
          <w:u w:color="000000" w:themeColor="text1"/>
        </w:rPr>
        <w:noBreakHyphen/>
        <w:t>generators.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(3)</w:t>
      </w:r>
      <w:r w:rsidRPr="00871E54">
        <w:rPr>
          <w:u w:color="000000" w:themeColor="text1"/>
        </w:rPr>
        <w:tab/>
        <w:t>Upon approval of the methodology provided for in item (4), each electrical utility shall file its analysis of the net cost to serve customer</w:t>
      </w:r>
      <w:r w:rsidRPr="00871E54">
        <w:rPr>
          <w:u w:color="000000" w:themeColor="text1"/>
        </w:rPr>
        <w:noBreakHyphen/>
        <w:t>generators using the approved methodology and shall propose new net energy metering rates.</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(4)</w:t>
      </w:r>
      <w:r w:rsidRPr="00871E54">
        <w:rPr>
          <w:u w:color="000000" w:themeColor="text1"/>
        </w:rPr>
        <w:tab/>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allowed to participate.  In its notice initiating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proceeding</w:t>
      </w:r>
      <w:r w:rsidRPr="00871E54">
        <w:rPr>
          <w:u w:val="single" w:color="000000" w:themeColor="text1"/>
        </w:rPr>
        <w:t>,</w:t>
      </w:r>
      <w:r w:rsidRPr="00871E54">
        <w:rPr>
          <w:u w:color="000000" w:themeColor="text1"/>
        </w:rPr>
        <w:t xml:space="preserve"> the commission must require the electrical utilities to propose methodologies required by item (1) and shall allow intervening parties to propose methodologies required by item (2).  The Office of Regulatory Staff, pursuant to the requirements of Section 58</w:t>
      </w:r>
      <w:r w:rsidRPr="00871E54">
        <w:rPr>
          <w:u w:color="000000" w:themeColor="text1"/>
        </w:rPr>
        <w:noBreakHyphen/>
        <w:t>4</w:t>
      </w:r>
      <w:r w:rsidRPr="00871E54">
        <w:rPr>
          <w:u w:color="000000" w:themeColor="text1"/>
        </w:rPr>
        <w:noBreakHyphen/>
        <w:t>50, shall represent the public interest in this proceeding and shall serve as a facilitator to resolve disputes and issues between the parties to this proceeding.</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(5)</w:t>
      </w:r>
      <w:r w:rsidRPr="00871E54">
        <w:rPr>
          <w:u w:color="000000" w:themeColor="text1"/>
        </w:rPr>
        <w:tab/>
        <w:t xml:space="preserve">In evaluating the benefits and costs of customer generation as required by item (2), and the methodology for calculating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benefits and costs, the Office of Regulatory Staff may engage third parties with relevant prior experience conducting distributed generation cost</w:t>
      </w:r>
      <w:r w:rsidRPr="00871E54">
        <w:rPr>
          <w:u w:color="000000" w:themeColor="text1"/>
        </w:rPr>
        <w:noBreakHyphen/>
        <w:t xml:space="preserve">benefit studies.  The cost of any experts and consultants engaged by the Office of Regulatory Staff for purposes of this proceeding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assessed to the electrical utilities pro rata based on their five</w:t>
      </w:r>
      <w:r w:rsidRPr="00871E54">
        <w:rPr>
          <w:u w:color="000000" w:themeColor="text1"/>
        </w:rPr>
        <w:noBreakHyphen/>
        <w:t xml:space="preserve">year average of retail peak demand and </w:t>
      </w:r>
      <w:r w:rsidRPr="00871E54">
        <w:rPr>
          <w:strike/>
          <w:u w:color="000000" w:themeColor="text1"/>
        </w:rPr>
        <w:t>shall be</w:t>
      </w:r>
      <w:r w:rsidRPr="00871E54">
        <w:rPr>
          <w:u w:color="000000" w:themeColor="text1"/>
        </w:rPr>
        <w:t xml:space="preserve"> </w:t>
      </w:r>
      <w:r w:rsidRPr="00871E54">
        <w:rPr>
          <w:u w:val="single" w:color="000000" w:themeColor="text1"/>
        </w:rPr>
        <w:t>are</w:t>
      </w:r>
      <w:r w:rsidRPr="00871E54">
        <w:rPr>
          <w:u w:color="000000" w:themeColor="text1"/>
        </w:rPr>
        <w:t xml:space="preserve"> recoverable by those electrical utilities through the base rate for fuel costs established pursuant to Section 58</w:t>
      </w:r>
      <w:r w:rsidRPr="00871E54">
        <w:rPr>
          <w:u w:color="000000" w:themeColor="text1"/>
        </w:rPr>
        <w:noBreakHyphen/>
        <w:t>27</w:t>
      </w:r>
      <w:r w:rsidRPr="00871E54">
        <w:rPr>
          <w:u w:color="000000" w:themeColor="text1"/>
        </w:rPr>
        <w:noBreakHyphen/>
        <w:t>865.</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r>
      <w:r w:rsidRPr="00871E54">
        <w:rPr>
          <w:u w:color="000000" w:themeColor="text1"/>
        </w:rPr>
        <w:tab/>
        <w:t>(6)</w:t>
      </w:r>
      <w:r w:rsidRPr="00871E54">
        <w:rPr>
          <w:u w:color="000000" w:themeColor="text1"/>
        </w:rPr>
        <w:tab/>
        <w:t xml:space="preserve">In the event </w:t>
      </w:r>
      <w:r w:rsidRPr="00871E54">
        <w:rPr>
          <w:strike/>
          <w:u w:color="000000" w:themeColor="text1"/>
        </w:rPr>
        <w:t>that</w:t>
      </w:r>
      <w:r w:rsidRPr="00871E54">
        <w:rPr>
          <w:u w:color="000000" w:themeColor="text1"/>
        </w:rPr>
        <w:t xml:space="preserve"> the commission determines that future benefits from net energy metering are properly reflected in net metering rates because they provide quantifiable benefits to the utility system, its customers, or both, and to the degree </w:t>
      </w:r>
      <w:r w:rsidRPr="00871E54">
        <w:rPr>
          <w:strike/>
          <w:u w:color="000000" w:themeColor="text1"/>
        </w:rPr>
        <w:t>such</w:t>
      </w:r>
      <w:r w:rsidRPr="00871E54">
        <w:rPr>
          <w:u w:color="000000" w:themeColor="text1"/>
        </w:rPr>
        <w:t xml:space="preserve"> </w:t>
      </w:r>
      <w:r w:rsidRPr="00871E54">
        <w:rPr>
          <w:u w:val="single" w:color="000000" w:themeColor="text1"/>
        </w:rPr>
        <w:t>these</w:t>
      </w:r>
      <w:r w:rsidRPr="00871E54">
        <w:rPr>
          <w:u w:color="000000" w:themeColor="text1"/>
        </w:rPr>
        <w:t xml:space="preserve"> benefits </w:t>
      </w:r>
      <w:r w:rsidRPr="00871E54">
        <w:rPr>
          <w:u w:val="single" w:color="000000" w:themeColor="text1"/>
        </w:rPr>
        <w:t>then</w:t>
      </w:r>
      <w:r w:rsidRPr="00871E54">
        <w:rPr>
          <w:u w:color="000000" w:themeColor="text1"/>
        </w:rPr>
        <w:t xml:space="preserve"> are not </w:t>
      </w:r>
      <w:r w:rsidRPr="00871E54">
        <w:rPr>
          <w:strike/>
          <w:u w:color="000000" w:themeColor="text1"/>
        </w:rPr>
        <w:t>then</w:t>
      </w:r>
      <w:r w:rsidRPr="00871E54">
        <w:rPr>
          <w:u w:color="000000" w:themeColor="text1"/>
        </w:rPr>
        <w:t xml:space="preserve"> being recovered by the electrical utility in its base rates, then </w:t>
      </w:r>
      <w:r w:rsidRPr="00871E54">
        <w:rPr>
          <w:strike/>
          <w:u w:color="000000" w:themeColor="text1"/>
        </w:rPr>
        <w:t>such</w:t>
      </w:r>
      <w:r w:rsidRPr="00871E54">
        <w:rPr>
          <w:u w:color="000000" w:themeColor="text1"/>
        </w:rPr>
        <w:t xml:space="preserve"> </w:t>
      </w:r>
      <w:r w:rsidRPr="00871E54">
        <w:rPr>
          <w:u w:val="single" w:color="000000" w:themeColor="text1"/>
        </w:rPr>
        <w:t>the</w:t>
      </w:r>
      <w:r w:rsidRPr="00871E54">
        <w:rPr>
          <w:u w:color="000000" w:themeColor="text1"/>
        </w:rPr>
        <w:t xml:space="preserve"> future benefits </w:t>
      </w:r>
      <w:r w:rsidRPr="00871E54">
        <w:rPr>
          <w:strike/>
          <w:u w:color="000000" w:themeColor="text1"/>
        </w:rPr>
        <w:t>shall</w:t>
      </w:r>
      <w:r w:rsidRPr="00871E54">
        <w:rPr>
          <w:u w:color="000000" w:themeColor="text1"/>
        </w:rPr>
        <w:t xml:space="preserve"> </w:t>
      </w:r>
      <w:r w:rsidRPr="00871E54">
        <w:rPr>
          <w:u w:val="single" w:color="000000" w:themeColor="text1"/>
        </w:rPr>
        <w:t>must</w:t>
      </w:r>
      <w:r w:rsidRPr="00871E54">
        <w:rPr>
          <w:u w:color="000000" w:themeColor="text1"/>
        </w:rPr>
        <w:t xml:space="preserve"> be deemed an avoided cost and </w:t>
      </w:r>
      <w:r w:rsidRPr="00871E54">
        <w:rPr>
          <w:strike/>
          <w:u w:color="000000" w:themeColor="text1"/>
        </w:rPr>
        <w:t>shall be</w:t>
      </w:r>
      <w:r w:rsidRPr="00871E54">
        <w:rPr>
          <w:u w:color="000000" w:themeColor="text1"/>
        </w:rPr>
        <w:t xml:space="preserve"> </w:t>
      </w:r>
      <w:r w:rsidRPr="00871E54">
        <w:rPr>
          <w:u w:val="single" w:color="000000" w:themeColor="text1"/>
        </w:rPr>
        <w:t>are</w:t>
      </w:r>
      <w:r w:rsidRPr="00871E54">
        <w:rPr>
          <w:u w:color="000000" w:themeColor="text1"/>
        </w:rPr>
        <w:t xml:space="preserve"> recoverable pursuant to Section 58</w:t>
      </w:r>
      <w:r w:rsidRPr="00871E54">
        <w:rPr>
          <w:u w:color="000000" w:themeColor="text1"/>
        </w:rPr>
        <w:noBreakHyphen/>
        <w:t>27</w:t>
      </w:r>
      <w:r w:rsidRPr="00871E54">
        <w:rPr>
          <w:u w:color="000000" w:themeColor="text1"/>
        </w:rPr>
        <w:noBreakHyphen/>
        <w:t>865 by the electrical utility as an incremental cost of the distributed energy resource program.</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71E54">
        <w:rPr>
          <w:u w:color="000000" w:themeColor="text1"/>
        </w:rPr>
        <w:tab/>
      </w:r>
      <w:r w:rsidRPr="00871E54">
        <w:rPr>
          <w:u w:color="000000" w:themeColor="text1"/>
        </w:rPr>
        <w:tab/>
      </w:r>
      <w:r w:rsidRPr="00871E54">
        <w:rPr>
          <w:u w:val="single" w:color="000000" w:themeColor="text1"/>
        </w:rPr>
        <w:t>(7)</w:t>
      </w:r>
      <w:r w:rsidRPr="00871E54">
        <w:rPr>
          <w:u w:val="single" w:color="000000" w:themeColor="text1"/>
        </w:rPr>
        <w:tab/>
        <w:t>Notwithstanding another provision of law, customers of the utility who are not customer</w:t>
      </w:r>
      <w:r w:rsidRPr="00871E54">
        <w:rPr>
          <w:u w:val="single" w:color="000000" w:themeColor="text1"/>
        </w:rPr>
        <w:noBreakHyphen/>
        <w:t>generators are not required to subsidize the costs of customer</w:t>
      </w:r>
      <w:r w:rsidRPr="00871E54">
        <w:rPr>
          <w:u w:val="single" w:color="000000" w:themeColor="text1"/>
        </w:rPr>
        <w:noBreakHyphen/>
        <w:t xml:space="preserve">generators. </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(G)</w:t>
      </w:r>
      <w:r w:rsidRPr="00871E54">
        <w:rPr>
          <w:u w:color="000000" w:themeColor="text1"/>
        </w:rPr>
        <w:tab/>
        <w:t>In no event shall the net energy metering provisions of this chapter be construed as allowing customer</w:t>
      </w:r>
      <w:r w:rsidRPr="00871E54">
        <w:rPr>
          <w:u w:color="000000" w:themeColor="text1"/>
        </w:rPr>
        <w:noBreakHyphen/>
        <w:t>generators to engage in meter aggregation, group/joint billing projects, and/or virtual net metering.</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rPr>
          <w:u w:color="000000" w:themeColor="text1"/>
        </w:rPr>
        <w:tab/>
        <w:t>(H)</w:t>
      </w:r>
      <w:r w:rsidRPr="00871E54">
        <w:rPr>
          <w:u w:color="000000" w:themeColor="text1"/>
        </w:rPr>
        <w:tab/>
        <w:t xml:space="preserve">The commission shall approve an electrical utility’s proposed net energy metering rates that meet the requirements of this chapter, provided </w:t>
      </w:r>
      <w:r w:rsidRPr="00871E54">
        <w:rPr>
          <w:strike/>
          <w:u w:color="000000" w:themeColor="text1"/>
        </w:rPr>
        <w:t>that</w:t>
      </w:r>
      <w:r w:rsidRPr="00871E54">
        <w:rPr>
          <w:u w:color="000000" w:themeColor="text1"/>
        </w:rPr>
        <w:t xml:space="preserve"> the commission has previously approved that electrical utility’s application to participate in a distributed energy resource program pursuant to Chapter 39, Title 58.”</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71E54">
        <w:rPr>
          <w:u w:color="000000" w:themeColor="text1"/>
        </w:rPr>
        <w:t>SECTION</w:t>
      </w:r>
      <w:r w:rsidRPr="00871E54">
        <w:rPr>
          <w:u w:color="000000" w:themeColor="text1"/>
        </w:rPr>
        <w:tab/>
        <w:t>4.</w:t>
      </w:r>
      <w:r w:rsidRPr="00871E54">
        <w:rPr>
          <w:u w:color="000000" w:themeColor="text1"/>
        </w:rPr>
        <w:tab/>
      </w:r>
      <w:r w:rsidRPr="00871E54">
        <w:t>Chapter 40, Title 58 of the 1976 Code is amended by adding:</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71E54">
        <w:tab/>
        <w:t>“Section 58-40-30.</w:t>
      </w:r>
      <w:r w:rsidRPr="00871E54">
        <w:tab/>
      </w:r>
      <w:r w:rsidRPr="00871E54">
        <w:rPr>
          <w:u w:color="000000" w:themeColor="text1"/>
        </w:rPr>
        <w:t>The Public Service Commission is prohibited from approving a settlement agreement, or otherwise issuing an order, that would require or authorize the value of electricity produced by customer</w:t>
      </w:r>
      <w:r w:rsidRPr="00871E54">
        <w:rPr>
          <w:u w:color="000000" w:themeColor="text1"/>
        </w:rPr>
        <w:noBreakHyphen/>
        <w:t>generators to be calculated at anything other than the utility’s avoided cost.”</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71E54">
        <w:rPr>
          <w:u w:color="000000" w:themeColor="text1"/>
        </w:rPr>
        <w:t>SECTION</w:t>
      </w:r>
      <w:r w:rsidRPr="00871E54">
        <w:rPr>
          <w:u w:color="000000" w:themeColor="text1"/>
        </w:rPr>
        <w:tab/>
        <w:t>5.</w:t>
      </w:r>
      <w:r w:rsidRPr="00871E54">
        <w:rPr>
          <w:u w:color="000000" w:themeColor="text1"/>
        </w:rPr>
        <w:tab/>
        <w:t>This act takes effect upon approval by the Governor.</w:t>
      </w:r>
      <w:r w:rsidRPr="00871E54">
        <w:rPr>
          <w:u w:color="000000" w:themeColor="text1"/>
        </w:rPr>
        <w:tab/>
      </w:r>
      <w:r w:rsidRPr="00871E54">
        <w:rPr>
          <w:u w:color="000000" w:themeColor="text1"/>
        </w:rPr>
        <w:tab/>
        <w:t>/</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E54">
        <w:t>Renumber sections to conform.</w:t>
      </w:r>
    </w:p>
    <w:p w:rsidR="00F46BCB"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1E54">
        <w:t>Amend title to conform.</w:t>
      </w:r>
    </w:p>
    <w:p w:rsidR="00F46BCB" w:rsidRPr="00871E54"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46BCB" w:rsidRPr="000D5E57" w:rsidRDefault="00F46BCB" w:rsidP="000D5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6BCB" w:rsidSect="000D5E5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Pr="00325348" w:rsidRDefault="00F46BCB" w:rsidP="00E1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F46BCB" w:rsidRDefault="00F46BC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E1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BY REPEALING CHAPTERS 39 AND 40 OF TITLE 58 RELATING TO THE SOUTH CAROLINA DISTRIBUTED ENERGY RESOURCE PROGRAM AND NET ENERGY METERING, RESPECTIVELY.</w:t>
      </w:r>
    </w:p>
    <w:p w:rsidR="00F46BCB" w:rsidRDefault="00F4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46BCB" w:rsidRDefault="00F4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BCB" w:rsidRDefault="00F4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Chapters 39 and 40 of Title 58 of the 1976 Code are repealed.</w:t>
      </w:r>
    </w:p>
    <w:p w:rsidR="00F46BCB" w:rsidRDefault="00F4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BCB" w:rsidRDefault="00F46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6BCB" w:rsidRDefault="00F46B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60C2" w:rsidRDefault="00A660C2" w:rsidP="00F46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660C2" w:rsidSect="000D5E5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872" w:rsidRDefault="00091872" w:rsidP="009F0C77">
      <w:r>
        <w:separator/>
      </w:r>
    </w:p>
  </w:endnote>
  <w:endnote w:type="continuationSeparator" w:id="0">
    <w:p w:rsidR="00091872" w:rsidRDefault="000918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DB1FF6-9723-4471-A9A6-B9E9F1258DAD}"/>
    <w:embedBold r:id="rId2" w:fontKey="{9E65A625-D9CD-408C-8726-7DB2512B9468}"/>
  </w:font>
  <w:font w:name="Calibri">
    <w:panose1 w:val="020F0502020204030204"/>
    <w:charset w:val="00"/>
    <w:family w:val="swiss"/>
    <w:pitch w:val="variable"/>
    <w:sig w:usb0="E00002FF" w:usb1="4000ACFF" w:usb2="00000001" w:usb3="00000000" w:csb0="0000019F" w:csb1="00000000"/>
    <w:embedRegular r:id="rId3" w:fontKey="{A3B494D9-15CC-48D7-BD29-995A71FD4C9D}"/>
  </w:font>
  <w:font w:name="Cambria">
    <w:panose1 w:val="02040503050406030204"/>
    <w:charset w:val="00"/>
    <w:family w:val="roman"/>
    <w:pitch w:val="variable"/>
    <w:sig w:usb0="E00002FF" w:usb1="400004FF" w:usb2="00000000" w:usb3="00000000" w:csb0="0000019F" w:csb1="00000000"/>
    <w:embedRegular r:id="rId4" w:fontKey="{764152AF-B032-4595-8B8D-1ABBCC792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BCB" w:rsidRPr="00E160F9" w:rsidRDefault="00F46BCB" w:rsidP="00E160F9">
    <w:pPr>
      <w:pStyle w:val="Footer"/>
      <w:tabs>
        <w:tab w:val="clear" w:pos="4680"/>
        <w:tab w:val="clear" w:pos="9360"/>
        <w:tab w:val="center" w:pos="2995"/>
      </w:tabs>
      <w:spacing w:before="120"/>
    </w:pPr>
    <w:r>
      <w:t>[5045-</w:t>
    </w:r>
    <w:r>
      <w:fldChar w:fldCharType="begin"/>
    </w:r>
    <w:r>
      <w:instrText xml:space="preserve"> PAGE  \* MERGEFORMAT </w:instrText>
    </w:r>
    <w:r>
      <w:fldChar w:fldCharType="separate"/>
    </w:r>
    <w:r w:rsidR="007C1A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E57" w:rsidRPr="00E160F9" w:rsidRDefault="00F46BCB" w:rsidP="00E160F9">
    <w:pPr>
      <w:pStyle w:val="Footer"/>
      <w:tabs>
        <w:tab w:val="clear" w:pos="4680"/>
        <w:tab w:val="clear" w:pos="9360"/>
        <w:tab w:val="center" w:pos="2995"/>
      </w:tabs>
      <w:spacing w:before="120"/>
    </w:pPr>
    <w:r>
      <w:t>[5045]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872" w:rsidRDefault="00091872" w:rsidP="009F0C77">
      <w:r>
        <w:separator/>
      </w:r>
    </w:p>
  </w:footnote>
  <w:footnote w:type="continuationSeparator" w:id="0">
    <w:p w:rsidR="00091872" w:rsidRDefault="000918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2AHB18"/>
    <w:docVar w:name="CoverBillType" w:val="b"/>
    <w:docVar w:name="DocPath" w:val="L:\Council\bills\BH\7202AHB18.DOCX"/>
    <w:docVar w:name="dvBillNumber" w:val="5045"/>
    <w:docVar w:name="dvBillNumberPrefix" w:val="H. "/>
    <w:docVar w:name="dvOriginalBody" w:val="House"/>
    <w:docVar w:name="dvSteno" w:val="BH"/>
    <w:docVar w:name="NameofBody" w:val="h"/>
    <w:docVar w:name="vGroup2" w:val="Council"/>
  </w:docVars>
  <w:rsids>
    <w:rsidRoot w:val="00091872"/>
    <w:rsid w:val="00011869"/>
    <w:rsid w:val="00015CD6"/>
    <w:rsid w:val="00047AD0"/>
    <w:rsid w:val="000650D0"/>
    <w:rsid w:val="00091872"/>
    <w:rsid w:val="000B2B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3380"/>
    <w:rsid w:val="00325348"/>
    <w:rsid w:val="0032732C"/>
    <w:rsid w:val="00336AD0"/>
    <w:rsid w:val="0037079A"/>
    <w:rsid w:val="003C4DAB"/>
    <w:rsid w:val="003D01E8"/>
    <w:rsid w:val="003E5288"/>
    <w:rsid w:val="003F6D79"/>
    <w:rsid w:val="0041760A"/>
    <w:rsid w:val="00417C01"/>
    <w:rsid w:val="004403BD"/>
    <w:rsid w:val="00461441"/>
    <w:rsid w:val="004809EE"/>
    <w:rsid w:val="00492B5E"/>
    <w:rsid w:val="004E7D54"/>
    <w:rsid w:val="005273C6"/>
    <w:rsid w:val="00530A69"/>
    <w:rsid w:val="00545593"/>
    <w:rsid w:val="00556EBF"/>
    <w:rsid w:val="00577C6C"/>
    <w:rsid w:val="005A62FE"/>
    <w:rsid w:val="005C2FE2"/>
    <w:rsid w:val="005E2BC9"/>
    <w:rsid w:val="00605102"/>
    <w:rsid w:val="006215AA"/>
    <w:rsid w:val="006768C9"/>
    <w:rsid w:val="006913C9"/>
    <w:rsid w:val="0069470D"/>
    <w:rsid w:val="006D58AA"/>
    <w:rsid w:val="00734F00"/>
    <w:rsid w:val="007A70AE"/>
    <w:rsid w:val="007C1A06"/>
    <w:rsid w:val="007D62EA"/>
    <w:rsid w:val="008362E8"/>
    <w:rsid w:val="0085786E"/>
    <w:rsid w:val="008A1768"/>
    <w:rsid w:val="008A489F"/>
    <w:rsid w:val="008F0F33"/>
    <w:rsid w:val="008F4429"/>
    <w:rsid w:val="0094021A"/>
    <w:rsid w:val="009B44AF"/>
    <w:rsid w:val="009C6A0B"/>
    <w:rsid w:val="009F0C77"/>
    <w:rsid w:val="009F4DD1"/>
    <w:rsid w:val="00A02543"/>
    <w:rsid w:val="00A3342F"/>
    <w:rsid w:val="00A41684"/>
    <w:rsid w:val="00A53686"/>
    <w:rsid w:val="00A64E80"/>
    <w:rsid w:val="00A660C2"/>
    <w:rsid w:val="00A72BCD"/>
    <w:rsid w:val="00A741D9"/>
    <w:rsid w:val="00A833AB"/>
    <w:rsid w:val="00A9741D"/>
    <w:rsid w:val="00AC34A2"/>
    <w:rsid w:val="00AD1C9A"/>
    <w:rsid w:val="00AD4B17"/>
    <w:rsid w:val="00AD6C3A"/>
    <w:rsid w:val="00AE170C"/>
    <w:rsid w:val="00B412D4"/>
    <w:rsid w:val="00B461E4"/>
    <w:rsid w:val="00BE3C22"/>
    <w:rsid w:val="00C0345E"/>
    <w:rsid w:val="00C31C95"/>
    <w:rsid w:val="00C3483A"/>
    <w:rsid w:val="00C74E9D"/>
    <w:rsid w:val="00C826DD"/>
    <w:rsid w:val="00C82FD3"/>
    <w:rsid w:val="00C92819"/>
    <w:rsid w:val="00CC6B7B"/>
    <w:rsid w:val="00CD2089"/>
    <w:rsid w:val="00D73A67"/>
    <w:rsid w:val="00D970A9"/>
    <w:rsid w:val="00DF3845"/>
    <w:rsid w:val="00E160F9"/>
    <w:rsid w:val="00E41911"/>
    <w:rsid w:val="00E44B57"/>
    <w:rsid w:val="00E92EEF"/>
    <w:rsid w:val="00EF2368"/>
    <w:rsid w:val="00F24442"/>
    <w:rsid w:val="00F46BCB"/>
    <w:rsid w:val="00F50AE3"/>
    <w:rsid w:val="00F655B7"/>
    <w:rsid w:val="00F656BA"/>
    <w:rsid w:val="00F67CF1"/>
    <w:rsid w:val="00F728AA"/>
    <w:rsid w:val="00F840F0"/>
    <w:rsid w:val="00FB0D0D"/>
    <w:rsid w:val="00FB43B4"/>
    <w:rsid w:val="00FB6B0B"/>
    <w:rsid w:val="00FC7B6D"/>
    <w:rsid w:val="00FD13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446C8-23A5-4199-9765-316AB663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6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hyperlink" Target="file:///h:\hj\2018040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hyperlink" Target="file:///h:\hj\2018040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045_2018030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5" Type="http://schemas.openxmlformats.org/officeDocument/2006/relationships/footnotes" Target="footnotes.xml"/><Relationship Id="rId15" Type="http://schemas.openxmlformats.org/officeDocument/2006/relationships/hyperlink" Target="file:///p:\pprever\2017-18\5045_20180301.docx" TargetMode="External"/><Relationship Id="rId10" Type="http://schemas.openxmlformats.org/officeDocument/2006/relationships/hyperlink" Target="file:///h:\hj\20180308.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306.docx" TargetMode="External"/><Relationship Id="rId14" Type="http://schemas.openxmlformats.org/officeDocument/2006/relationships/hyperlink" Target="http://www.scstatehouse.gov/billsearch.php?billnumbers=50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FC2E-DA04-40B6-BBB3-0A3FFA61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0</TotalTime>
  <Pages>3</Pages>
  <Words>2149</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5045: Title 58, Chap. 039, SC Distributed Energy Resource Program - South Carolina Legislature Online</dc:title>
  <dc:creator>%USERNAME%</dc:creator>
  <cp:lastModifiedBy>S Volk</cp:lastModifiedBy>
  <cp:revision>2</cp:revision>
  <cp:lastPrinted>2018-03-01T13:57:00Z</cp:lastPrinted>
  <dcterms:created xsi:type="dcterms:W3CDTF">2018-04-09T14:23:00Z</dcterms:created>
  <dcterms:modified xsi:type="dcterms:W3CDTF">2018-04-09T14:23:00Z</dcterms:modified>
</cp:coreProperties>
</file>