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586B" w:rsidRP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Pr="00AE586B" w:rsidRDefault="00AE586B" w:rsidP="00AE586B">
      <w:pPr>
        <w:tabs>
          <w:tab w:val="right" w:pos="5933"/>
        </w:tabs>
        <w:suppressAutoHyphens/>
      </w:pPr>
      <w:r>
        <w:tab/>
      </w:r>
      <w:r>
        <w:rPr>
          <w:b/>
          <w:sz w:val="36"/>
        </w:rPr>
        <w:t>S. 250</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5EB3">
        <w:t>Senators Leatherman, Setzler and Alexander</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1/24/17--S.</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AE586B"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E560E" w:rsidRPr="00AE586B" w:rsidRDefault="004E560E"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586B" w:rsidRPr="00AE586B"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250) </w:t>
      </w:r>
      <w:r w:rsidRPr="00AE586B">
        <w:rPr>
          <w:color w:val="000000" w:themeColor="text1"/>
          <w:u w:color="000000" w:themeColor="text1"/>
        </w:rPr>
        <w:t>to amend Section 12</w:t>
      </w:r>
      <w:r w:rsidRPr="00AE586B">
        <w:rPr>
          <w:color w:val="000000" w:themeColor="text1"/>
          <w:u w:color="000000" w:themeColor="text1"/>
        </w:rPr>
        <w:noBreakHyphen/>
        <w:t>6</w:t>
      </w:r>
      <w:r w:rsidRPr="00AE586B">
        <w:rPr>
          <w:color w:val="000000" w:themeColor="text1"/>
          <w:u w:color="000000" w:themeColor="text1"/>
        </w:rPr>
        <w:noBreakHyphen/>
        <w:t>40, as amended, Code of Laws of South Carolina, 1976, relating to the application of the Internal Revenue Code</w:t>
      </w:r>
      <w:r>
        <w:t>, etc., respectfully</w:t>
      </w:r>
    </w:p>
    <w:p w:rsidR="00AE586B" w:rsidRPr="00AE586B"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17BF" w:rsidRDefault="001517B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7BF" w:rsidRDefault="001517B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517BF" w:rsidRPr="001517BF" w:rsidRDefault="001517BF" w:rsidP="00151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Pr="00AE586B"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586B" w:rsidRPr="001D4422"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D4422">
        <w:rPr>
          <w:b/>
          <w:szCs w:val="22"/>
        </w:rPr>
        <w:t>Explanation of Fiscal Impact</w:t>
      </w:r>
    </w:p>
    <w:p w:rsidR="00AE586B" w:rsidRPr="001D4422"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D4422">
        <w:rPr>
          <w:b/>
          <w:szCs w:val="22"/>
        </w:rPr>
        <w:t xml:space="preserve">Introduced on January 12, 2017 </w:t>
      </w:r>
    </w:p>
    <w:p w:rsidR="00AE586B" w:rsidRPr="001D4422"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D4422">
        <w:rPr>
          <w:b/>
          <w:szCs w:val="22"/>
        </w:rPr>
        <w:t>State Expenditure</w:t>
      </w:r>
    </w:p>
    <w:p w:rsidR="00AE586B" w:rsidRPr="001D4422"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1D4422">
        <w:t xml:space="preserve">Senate Bill 250 requires the Department of Revenue to administer any tax form or instruction changes from updating South Carolina’s conformity to the Internal Revenue Code (IRC) through December 31, 2016.  These activities are a continuation of existing agency responsibilities and will not have an expenditure impact on the </w:t>
      </w:r>
      <w:r>
        <w:t>general fund, federal funds, or other funds</w:t>
      </w:r>
      <w:r w:rsidRPr="001D4422">
        <w:t>.</w:t>
      </w:r>
    </w:p>
    <w:p w:rsidR="00AE586B" w:rsidRPr="00EB2EF1" w:rsidRDefault="00AE586B" w:rsidP="00AE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2EF1">
        <w:rPr>
          <w:b/>
          <w:szCs w:val="22"/>
        </w:rPr>
        <w:t>State Reve</w:t>
      </w:r>
      <w:r w:rsidR="00F9492A" w:rsidRPr="00EB2EF1">
        <w:rPr>
          <w:rStyle w:val="Heading2Char"/>
          <w:rFonts w:ascii="Times New Roman" w:hAnsi="Times New Roman" w:cs="Times New Roman"/>
          <w:b/>
          <w:color w:val="auto"/>
          <w:sz w:val="22"/>
          <w:szCs w:val="22"/>
        </w:rPr>
        <w:t>n</w:t>
      </w:r>
      <w:r w:rsidRPr="00EB2EF1">
        <w:rPr>
          <w:b/>
          <w:szCs w:val="22"/>
        </w:rPr>
        <w:t>ue</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This bill updates South Carolina’s conformity to the Internal Revenue Code (IRC) through December 31, 2016.  Research by the Department of Revenue reports that of the five federal tax acts passed in 2016, only two provisions within these five acts may affect South Carolina income tax revenue.  </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1D4422">
        <w:rPr>
          <w:rFonts w:cs="Times New Roman"/>
          <w:sz w:val="22"/>
        </w:rPr>
        <w:t xml:space="preserve">The first provision is contained in the U.S. Appreciation for Olympians and Paralympians Act of 2016, which creates a new exclusion from taxable income for the value of the medals awarded to U.S. Olympic or Paralympic athletes and the cash prizes given by the U.S. Olympic Committee.  </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The second provision requires the Department of Defense to ensure that amounts are not withheld for tax purposes from severance payments to veterans with combat-related injuries when such payments are not considered gross income under the IRC.  This provision is enacted as part of the Combat-Injured Veterans Tax Fairness Act.  </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The U.S. Joint Committee on Taxation estimates that these two provisions would reduce federal tax revenue by a negligible amount in tax year 2017.  Therefore, we expect that updating IRC conformity through the end of 2016 will have no revenue impact on </w:t>
      </w:r>
      <w:r>
        <w:rPr>
          <w:rFonts w:cs="Times New Roman"/>
          <w:sz w:val="22"/>
        </w:rPr>
        <w:t>general fund</w:t>
      </w:r>
      <w:r w:rsidRPr="001D4422">
        <w:rPr>
          <w:rFonts w:cs="Times New Roman"/>
          <w:sz w:val="22"/>
        </w:rPr>
        <w:t xml:space="preserve"> income tax revenue in FY 2017-18.</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In addition, this bill proactively adopts for South Carolina certain expired provisions of the federal code that are extended, but not otherwise amended by congressional enactment in 2017.  This contingency is required since the U.S. Congress allowed thirty-seven federal exemptions to expire at the end of 2016.  Adopting these exemptions retroactively is still under consideration by Congress, which has occurred previously in recent years.  Of these thirty-seven exemptions, twelve potentially impact South Carolina taxable income and are noted in the table below.</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If Congress does not reinstate these provisions, the resulting increase in South Carolina taxable income would increase </w:t>
      </w:r>
      <w:r>
        <w:rPr>
          <w:rFonts w:cs="Times New Roman"/>
          <w:sz w:val="22"/>
        </w:rPr>
        <w:t>general fund</w:t>
      </w:r>
      <w:r w:rsidRPr="001D4422">
        <w:rPr>
          <w:rFonts w:cs="Times New Roman"/>
          <w:sz w:val="22"/>
        </w:rPr>
        <w:t xml:space="preserve"> income tax revenue by $11,790,000 in FY 2017-18.  This revenue impact would occur whether or not the General Assembly enacts legislation to update the IRC conformity through December 31, 2016.  The table below provides a brief summary of the twelve provisions including their expected $11,790,000 revenue impact on </w:t>
      </w:r>
      <w:r>
        <w:rPr>
          <w:rFonts w:cs="Times New Roman"/>
          <w:sz w:val="22"/>
        </w:rPr>
        <w:t>general fund</w:t>
      </w:r>
      <w:r w:rsidRPr="001D4422">
        <w:rPr>
          <w:rFonts w:cs="Times New Roman"/>
          <w:sz w:val="22"/>
        </w:rPr>
        <w:t xml:space="preserve"> income tax revenue in FY 2017-18.  </w:t>
      </w:r>
      <w:r>
        <w:rPr>
          <w:rFonts w:cs="Times New Roman"/>
          <w:sz w:val="22"/>
        </w:rPr>
        <w:tab/>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These temporary provisions have generally been in the IRC for years and are routinely extended as they were most recently extended in the Protecting Americans from Tax Hikes Act of 2015.  While Congress is expected to address these expired provisions at some point in 2017, there is no certainty.  Should Congress fail to reinstate these provisions in 2017, South Carolina </w:t>
      </w:r>
      <w:r>
        <w:rPr>
          <w:rFonts w:cs="Times New Roman"/>
          <w:sz w:val="22"/>
        </w:rPr>
        <w:t>general fund</w:t>
      </w:r>
      <w:r w:rsidRPr="001D4422">
        <w:rPr>
          <w:rFonts w:cs="Times New Roman"/>
          <w:sz w:val="22"/>
        </w:rPr>
        <w:t xml:space="preserve"> income tax revenue will increase, even if South Carolina enacts conformity legislation.    </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 xml:space="preserve">In November 2016 when the Board of Economic Advisors (BEA) set the initial forecast for FY 2017-18, the expectation was that </w:t>
      </w:r>
      <w:r w:rsidRPr="001D4422">
        <w:rPr>
          <w:rFonts w:cs="Times New Roman"/>
          <w:sz w:val="22"/>
        </w:rPr>
        <w:lastRenderedPageBreak/>
        <w:t xml:space="preserve">Congress would extend these expiring federal tax provisions.  The BEA </w:t>
      </w:r>
      <w:r>
        <w:rPr>
          <w:rFonts w:cs="Times New Roman"/>
          <w:sz w:val="22"/>
        </w:rPr>
        <w:t>general fund</w:t>
      </w:r>
      <w:r w:rsidRPr="001D4422">
        <w:rPr>
          <w:rFonts w:cs="Times New Roman"/>
          <w:sz w:val="22"/>
        </w:rPr>
        <w:t xml:space="preserve"> forecast included the revenue impact of extending these provisions as part of the income tax base since most of these provisions have been in effect for many years.  </w:t>
      </w: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D4422">
        <w:rPr>
          <w:rFonts w:cs="Times New Roman"/>
          <w:sz w:val="22"/>
        </w:rPr>
        <w:t>At this point, we expect these expired provisions will be reinstated; therefore, we anticipate no revenue impact from federal actions that retroactively reinstate or extend the expired provisions.  In other words, if Congress reauthorizes or extends these items in 2017 with no amendments, we anticipate no impact on South Carolina income tax revenue.  The BEA will monitor this situation and any adjustment to the FY 2017-18 revenue forecast will be addressed later in the legislative session based on any federal or state legislation.</w:t>
      </w:r>
    </w:p>
    <w:p w:rsidR="00AE586B" w:rsidRPr="001D4422" w:rsidRDefault="00AE586B" w:rsidP="004E560E"/>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Style w:val="TableGrid"/>
        <w:tblW w:w="0" w:type="auto"/>
        <w:tblLook w:val="04A0" w:firstRow="1" w:lastRow="0" w:firstColumn="1" w:lastColumn="0" w:noHBand="0" w:noVBand="1"/>
      </w:tblPr>
      <w:tblGrid>
        <w:gridCol w:w="456"/>
        <w:gridCol w:w="2980"/>
        <w:gridCol w:w="986"/>
        <w:gridCol w:w="1501"/>
      </w:tblGrid>
      <w:tr w:rsidR="00AE586B" w:rsidRPr="001D4422" w:rsidTr="00071B55">
        <w:trPr>
          <w:trHeight w:val="530"/>
        </w:trPr>
        <w:tc>
          <w:tcPr>
            <w:tcW w:w="456" w:type="dxa"/>
            <w:noWrap/>
            <w:vAlign w:val="bottom"/>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c>
        <w:tc>
          <w:tcPr>
            <w:tcW w:w="6159" w:type="dxa"/>
            <w:vAlign w:val="bottom"/>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1D4422">
              <w:rPr>
                <w:rFonts w:ascii="Times New Roman" w:hAnsi="Times New Roman" w:cs="Times New Roman"/>
                <w:b/>
                <w:sz w:val="22"/>
              </w:rPr>
              <w:t>Expired 2016 Federal Tax Provisions Under Consideration by Congress</w:t>
            </w:r>
          </w:p>
        </w:tc>
        <w:tc>
          <w:tcPr>
            <w:tcW w:w="580" w:type="dxa"/>
            <w:vAlign w:val="bottom"/>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1D4422">
              <w:rPr>
                <w:rFonts w:ascii="Times New Roman" w:hAnsi="Times New Roman" w:cs="Times New Roman"/>
                <w:b/>
                <w:sz w:val="22"/>
              </w:rPr>
              <w:t>First Enacted</w:t>
            </w:r>
          </w:p>
        </w:tc>
        <w:tc>
          <w:tcPr>
            <w:tcW w:w="2155" w:type="dxa"/>
            <w:vAlign w:val="bottom"/>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22"/>
              </w:rPr>
            </w:pPr>
            <w:r w:rsidRPr="001D4422">
              <w:rPr>
                <w:rFonts w:ascii="Times New Roman" w:hAnsi="Times New Roman" w:cs="Times New Roman"/>
                <w:b/>
                <w:sz w:val="22"/>
              </w:rPr>
              <w:t>Potential Impact</w:t>
            </w:r>
          </w:p>
        </w:tc>
      </w:tr>
      <w:tr w:rsidR="00AE586B" w:rsidRPr="001D4422" w:rsidTr="00071B55">
        <w:trPr>
          <w:trHeight w:val="530"/>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Medical expense deduction floor of 7.5% of adjusted gross income for individuals age 65 and older</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2010</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$ 4,819,000 </w:t>
            </w:r>
          </w:p>
        </w:tc>
      </w:tr>
      <w:tr w:rsidR="00AE586B" w:rsidRPr="001D4422" w:rsidTr="00071B55">
        <w:trPr>
          <w:trHeight w:val="31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Deduction for qualified tuition and related expenses </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1978</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$ 2,768,000 </w:t>
            </w:r>
          </w:p>
        </w:tc>
      </w:tr>
      <w:tr w:rsidR="00AE586B" w:rsidRPr="001D4422" w:rsidTr="00071B55">
        <w:trPr>
          <w:trHeight w:val="630"/>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3</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Discharge of indebtedness on principal residence excluded from gross income of individuals</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2007</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$ 2,050,000 </w:t>
            </w:r>
          </w:p>
        </w:tc>
      </w:tr>
      <w:tr w:rsidR="00AE586B" w:rsidRPr="001D4422" w:rsidTr="00071B55">
        <w:trPr>
          <w:trHeight w:val="630"/>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4</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Premiums for mortgage insurance deductible as interest that is qualified residential interest</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2006</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$ 1,070,000 </w:t>
            </w:r>
          </w:p>
        </w:tc>
      </w:tr>
      <w:tr w:rsidR="00AE586B" w:rsidRPr="001D4422" w:rsidTr="00071B55">
        <w:trPr>
          <w:trHeight w:val="623"/>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5</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Special rule for sales or dispositions to implement Federal Energy Regulatory Commission or state electric restructuring policy</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2004</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$ 406,000 </w:t>
            </w:r>
          </w:p>
        </w:tc>
      </w:tr>
      <w:tr w:rsidR="00AE586B" w:rsidRPr="001D4422" w:rsidTr="00071B55">
        <w:trPr>
          <w:trHeight w:val="31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6</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Extension of energy efficient commercial buildings deduction</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2006</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$ 246,000 </w:t>
            </w:r>
          </w:p>
        </w:tc>
      </w:tr>
      <w:tr w:rsidR="00AE586B" w:rsidRPr="001D4422" w:rsidTr="00071B55">
        <w:trPr>
          <w:trHeight w:val="890"/>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lastRenderedPageBreak/>
              <w:t>7</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Change the depreciation classification for race horses that are two years old or younger from seven-year property to three-year property</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2008</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$ 215,000 </w:t>
            </w:r>
          </w:p>
        </w:tc>
      </w:tr>
      <w:tr w:rsidR="00AE586B" w:rsidRPr="001D4422" w:rsidTr="00071B55">
        <w:trPr>
          <w:trHeight w:val="31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8</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Empowerment zone tax incentives</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1993</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$ 76,000 </w:t>
            </w:r>
          </w:p>
        </w:tc>
      </w:tr>
      <w:tr w:rsidR="00AE586B" w:rsidRPr="001D4422" w:rsidTr="00071B55">
        <w:trPr>
          <w:trHeight w:val="37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9</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Seven-year recovery period for certain motorsports racing facilities</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2004</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$ 58,000 </w:t>
            </w:r>
          </w:p>
        </w:tc>
      </w:tr>
      <w:tr w:rsidR="00AE586B" w:rsidRPr="001D4422" w:rsidTr="00071B55">
        <w:trPr>
          <w:trHeight w:val="630"/>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10</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Special expensing rules for certain film and television productions</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2004</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$ 39,000 </w:t>
            </w:r>
          </w:p>
        </w:tc>
      </w:tr>
      <w:tr w:rsidR="00AE586B" w:rsidRPr="001D4422" w:rsidTr="00071B55">
        <w:trPr>
          <w:trHeight w:val="31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11</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Election to expense advanced mine safety equipment</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2006</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$ 32,000 </w:t>
            </w:r>
          </w:p>
        </w:tc>
      </w:tr>
      <w:tr w:rsidR="00AE586B" w:rsidRPr="001D4422" w:rsidTr="00071B55">
        <w:trPr>
          <w:trHeight w:val="315"/>
        </w:trPr>
        <w:tc>
          <w:tcPr>
            <w:tcW w:w="456"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12</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Five-year cost recovery for certain energy property</w:t>
            </w:r>
          </w:p>
        </w:tc>
        <w:tc>
          <w:tcPr>
            <w:tcW w:w="580"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2005</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$ 11,000 </w:t>
            </w:r>
          </w:p>
        </w:tc>
      </w:tr>
      <w:tr w:rsidR="00AE586B" w:rsidRPr="001D4422" w:rsidTr="00071B55">
        <w:trPr>
          <w:trHeight w:val="375"/>
        </w:trPr>
        <w:tc>
          <w:tcPr>
            <w:tcW w:w="456" w:type="dxa"/>
            <w:noWrap/>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w:t>
            </w:r>
          </w:p>
        </w:tc>
        <w:tc>
          <w:tcPr>
            <w:tcW w:w="6159" w:type="dxa"/>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bCs/>
                <w:sz w:val="22"/>
              </w:rPr>
            </w:pPr>
            <w:r w:rsidRPr="001D4422">
              <w:rPr>
                <w:rFonts w:ascii="Times New Roman" w:hAnsi="Times New Roman" w:cs="Times New Roman"/>
                <w:b/>
                <w:bCs/>
                <w:sz w:val="22"/>
              </w:rPr>
              <w:t>Total</w:t>
            </w:r>
          </w:p>
        </w:tc>
        <w:tc>
          <w:tcPr>
            <w:tcW w:w="580" w:type="dxa"/>
            <w:noWrap/>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w:t>
            </w:r>
          </w:p>
        </w:tc>
        <w:tc>
          <w:tcPr>
            <w:tcW w:w="2155" w:type="dxa"/>
            <w:vAlign w:val="bottom"/>
            <w:hideMark/>
          </w:tcPr>
          <w:p w:rsidR="00AE586B" w:rsidRPr="001D4422" w:rsidRDefault="00AE586B" w:rsidP="00AE586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1D4422">
              <w:rPr>
                <w:rFonts w:ascii="Times New Roman" w:hAnsi="Times New Roman" w:cs="Times New Roman"/>
                <w:sz w:val="22"/>
              </w:rPr>
              <w:t xml:space="preserve"> $ 11,790,000 </w:t>
            </w:r>
          </w:p>
        </w:tc>
      </w:tr>
    </w:tbl>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586B" w:rsidRP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6B" w:rsidRDefault="00AE586B"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86B" w:rsidSect="00AE58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7D47" w:rsidRDefault="007D7D47"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1F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B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238">
        <w:rPr>
          <w:color w:val="000000" w:themeColor="text1"/>
          <w:u w:color="000000" w:themeColor="text1"/>
        </w:rPr>
        <w:t>TO AMEND SECTION 12</w:t>
      </w:r>
      <w:r>
        <w:rPr>
          <w:color w:val="000000" w:themeColor="text1"/>
          <w:u w:color="000000" w:themeColor="text1"/>
        </w:rPr>
        <w:noBreakHyphen/>
      </w:r>
      <w:r w:rsidRPr="00E86238">
        <w:rPr>
          <w:color w:val="000000" w:themeColor="text1"/>
          <w:u w:color="000000" w:themeColor="text1"/>
        </w:rPr>
        <w:t>6</w:t>
      </w:r>
      <w:r>
        <w:rPr>
          <w:color w:val="000000" w:themeColor="text1"/>
          <w:u w:color="000000" w:themeColor="text1"/>
        </w:rPr>
        <w:noBreakHyphen/>
      </w:r>
      <w:r w:rsidRPr="00E86238">
        <w:rPr>
          <w:color w:val="000000" w:themeColor="text1"/>
          <w:u w:color="000000" w:themeColor="text1"/>
        </w:rPr>
        <w:t xml:space="preserve">40, AS AMENDED, CODE OF LAWS OF SOUTH CAROLINA, 1976, RELATING TO THE APPLICATION OF THE INTERNAL REVENUE CODE TO STATE INCOME TAX LAWS, SO AS TO UPDATE THE REFERENCE TO THE INTERNAL REVENUE CODE TO THE YEAR 2016 AND TO PROVIDE THAT IF THE INTERNAL REVENUE CODE SECTIONS ADOPTED BY THIS STATE ARE EXTENDED, THEN THESE SECTIONS ALSO ARE EXTENDED FOR SOUTH CAROLINA INCOME TAX PURPOSES.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B5E" w:rsidRPr="00E86238" w:rsidRDefault="00331F85"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B5E" w:rsidRPr="00E86238">
        <w:rPr>
          <w:color w:val="000000" w:themeColor="text1"/>
          <w:u w:color="000000" w:themeColor="text1"/>
        </w:rPr>
        <w:t>Section 12</w:t>
      </w:r>
      <w:r w:rsidR="008D6B5E">
        <w:rPr>
          <w:color w:val="000000" w:themeColor="text1"/>
          <w:u w:color="000000" w:themeColor="text1"/>
        </w:rPr>
        <w:noBreakHyphen/>
      </w:r>
      <w:r w:rsidR="008D6B5E" w:rsidRPr="00E86238">
        <w:rPr>
          <w:color w:val="000000" w:themeColor="text1"/>
          <w:u w:color="000000" w:themeColor="text1"/>
        </w:rPr>
        <w:t>6</w:t>
      </w:r>
      <w:r w:rsidR="008D6B5E">
        <w:rPr>
          <w:color w:val="000000" w:themeColor="text1"/>
          <w:u w:color="000000" w:themeColor="text1"/>
        </w:rPr>
        <w:noBreakHyphen/>
      </w:r>
      <w:r w:rsidR="008D6B5E" w:rsidRPr="00E86238">
        <w:rPr>
          <w:color w:val="000000" w:themeColor="text1"/>
          <w:u w:color="000000" w:themeColor="text1"/>
        </w:rPr>
        <w:t xml:space="preserve">40(A)(1)(a) and (c) of the 1976 Code, as last amended by Act 160 of 2016, is further amended to read: </w:t>
      </w: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238">
        <w:rPr>
          <w:color w:val="000000" w:themeColor="text1"/>
          <w:u w:color="000000" w:themeColor="text1"/>
        </w:rPr>
        <w:tab/>
        <w:t>“(a)</w:t>
      </w:r>
      <w:r w:rsidRPr="00E86238">
        <w:rPr>
          <w:color w:val="000000" w:themeColor="text1"/>
          <w:u w:color="000000" w:themeColor="text1"/>
        </w:rPr>
        <w:tab/>
        <w:t xml:space="preserve">Except as otherwise provided, </w:t>
      </w:r>
      <w:r w:rsidRPr="008D6B5E">
        <w:rPr>
          <w:color w:val="000000" w:themeColor="text1"/>
          <w:u w:color="000000" w:themeColor="text1"/>
        </w:rPr>
        <w:t>‘</w:t>
      </w:r>
      <w:r w:rsidRPr="00E86238">
        <w:rPr>
          <w:color w:val="000000" w:themeColor="text1"/>
          <w:u w:color="000000" w:themeColor="text1"/>
        </w:rPr>
        <w:t>Internal Revenue Code</w:t>
      </w:r>
      <w:r w:rsidRPr="008D6B5E">
        <w:rPr>
          <w:color w:val="000000" w:themeColor="text1"/>
          <w:u w:color="000000" w:themeColor="text1"/>
        </w:rPr>
        <w:t>’</w:t>
      </w:r>
      <w:r w:rsidRPr="00E86238">
        <w:rPr>
          <w:color w:val="000000" w:themeColor="text1"/>
          <w:u w:color="000000" w:themeColor="text1"/>
        </w:rPr>
        <w:t xml:space="preserve"> means the Internal Revenue Code of 1986, as amended through December 31, </w:t>
      </w:r>
      <w:r w:rsidRPr="00E86238">
        <w:rPr>
          <w:strike/>
          <w:color w:val="000000" w:themeColor="text1"/>
          <w:u w:color="000000" w:themeColor="text1"/>
        </w:rPr>
        <w:t>2015</w:t>
      </w:r>
      <w:r w:rsidRPr="00E86238">
        <w:rPr>
          <w:color w:val="000000" w:themeColor="text1"/>
          <w:u w:color="000000" w:themeColor="text1"/>
        </w:rPr>
        <w:t xml:space="preserve"> </w:t>
      </w:r>
      <w:r w:rsidRPr="00E86238">
        <w:rPr>
          <w:color w:val="000000" w:themeColor="text1"/>
          <w:u w:val="single" w:color="000000" w:themeColor="text1"/>
        </w:rPr>
        <w:t>2016</w:t>
      </w:r>
      <w:r w:rsidRPr="00E86238">
        <w:rPr>
          <w:color w:val="000000" w:themeColor="text1"/>
          <w:u w:color="000000" w:themeColor="text1"/>
        </w:rPr>
        <w:t>, and includes the effective date provisions contained in it.</w:t>
      </w: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F85"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238">
        <w:rPr>
          <w:color w:val="000000" w:themeColor="text1"/>
          <w:u w:color="000000" w:themeColor="text1"/>
        </w:rPr>
        <w:tab/>
      </w:r>
      <w:r w:rsidRPr="00E86238">
        <w:rPr>
          <w:color w:val="000000" w:themeColor="text1"/>
          <w:u w:color="000000" w:themeColor="text1"/>
        </w:rPr>
        <w:tab/>
      </w:r>
      <w:r w:rsidRPr="00E86238">
        <w:rPr>
          <w:color w:val="000000" w:themeColor="text1"/>
          <w:u w:color="000000" w:themeColor="text1"/>
        </w:rPr>
        <w:tab/>
        <w:t>(c)</w:t>
      </w:r>
      <w:r w:rsidRPr="00E86238">
        <w:rPr>
          <w:color w:val="000000" w:themeColor="text1"/>
          <w:u w:color="000000" w:themeColor="text1"/>
        </w:rPr>
        <w:tab/>
        <w:t xml:space="preserve">If Internal Revenue Code sections adopted by this State which expired or portions thereof expired on December 31, </w:t>
      </w:r>
      <w:r w:rsidRPr="00E86238">
        <w:rPr>
          <w:strike/>
          <w:color w:val="000000" w:themeColor="text1"/>
          <w:u w:color="000000" w:themeColor="text1"/>
        </w:rPr>
        <w:t>2015</w:t>
      </w:r>
      <w:r w:rsidRPr="00E86238">
        <w:rPr>
          <w:color w:val="000000" w:themeColor="text1"/>
          <w:u w:color="000000" w:themeColor="text1"/>
        </w:rPr>
        <w:t xml:space="preserve"> </w:t>
      </w:r>
      <w:r w:rsidRPr="00E86238">
        <w:rPr>
          <w:color w:val="000000" w:themeColor="text1"/>
          <w:u w:val="single" w:color="000000" w:themeColor="text1"/>
        </w:rPr>
        <w:t>2016</w:t>
      </w:r>
      <w:r w:rsidRPr="00E86238">
        <w:rPr>
          <w:color w:val="000000" w:themeColor="text1"/>
          <w:u w:color="000000" w:themeColor="text1"/>
        </w:rPr>
        <w:t xml:space="preserve">, are extended, but otherwise not amended, by congressional enactment during </w:t>
      </w:r>
      <w:r w:rsidRPr="00E86238">
        <w:rPr>
          <w:strike/>
          <w:color w:val="000000" w:themeColor="text1"/>
          <w:u w:color="000000" w:themeColor="text1"/>
        </w:rPr>
        <w:t>2016</w:t>
      </w:r>
      <w:r w:rsidRPr="00E86238">
        <w:rPr>
          <w:color w:val="000000" w:themeColor="text1"/>
          <w:u w:color="000000" w:themeColor="text1"/>
        </w:rPr>
        <w:t xml:space="preserve"> </w:t>
      </w:r>
      <w:r w:rsidRPr="00E86238">
        <w:rPr>
          <w:color w:val="000000" w:themeColor="text1"/>
          <w:u w:val="single" w:color="000000" w:themeColor="text1"/>
        </w:rPr>
        <w:t>2017</w:t>
      </w:r>
      <w:r w:rsidRPr="00E86238">
        <w:rPr>
          <w:color w:val="000000" w:themeColor="text1"/>
          <w:u w:color="000000" w:themeColor="text1"/>
        </w:rPr>
        <w:t>, these sections or portions thereof also are extended for South Carolina income tax purposes in the same manner that they are extended for federal income tax purposes.”</w:t>
      </w: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B5E">
        <w:t>2</w:t>
      </w:r>
      <w:r>
        <w:t>.</w:t>
      </w:r>
      <w:r>
        <w:tab/>
        <w:t>This act takes effect upon approval by the Governor.</w:t>
      </w:r>
    </w:p>
    <w:p w:rsidR="00EB55A2" w:rsidRDefault="008D6B5E" w:rsidP="001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664" w:rsidRDefault="00491664" w:rsidP="00491664">
      <w:pPr>
        <w:suppressAutoHyphens/>
      </w:pPr>
    </w:p>
    <w:sectPr w:rsidR="00491664" w:rsidSect="00AE58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85" w:rsidRDefault="00331F85" w:rsidP="009F0C77">
      <w:r>
        <w:separator/>
      </w:r>
    </w:p>
  </w:endnote>
  <w:endnote w:type="continuationSeparator" w:id="0">
    <w:p w:rsidR="00331F85" w:rsidRDefault="00331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343FF2-B353-4B6A-BAA3-EEBF59D7B546}"/>
    <w:embedBold r:id="rId2" w:fontKey="{64CBFBA1-FEEE-4227-B0F3-2DAFD11D3EC9}"/>
  </w:font>
  <w:font w:name="Calibri">
    <w:panose1 w:val="020F0502020204030204"/>
    <w:charset w:val="00"/>
    <w:family w:val="swiss"/>
    <w:pitch w:val="variable"/>
    <w:sig w:usb0="E00002FF" w:usb1="4000ACFF" w:usb2="00000001" w:usb3="00000000" w:csb0="0000019F" w:csb1="00000000"/>
    <w:embedRegular r:id="rId3" w:fontKey="{BFDCBC56-AA4D-4A29-ACC9-7B1A40A8381A}"/>
    <w:embedBold r:id="rId4" w:fontKey="{2E5C29EB-4195-49FD-BF33-521E2480F228}"/>
  </w:font>
  <w:font w:name="Cambria">
    <w:panose1 w:val="02040503050406030204"/>
    <w:charset w:val="00"/>
    <w:family w:val="roman"/>
    <w:pitch w:val="variable"/>
    <w:sig w:usb0="E00002FF" w:usb1="400004FF" w:usb2="00000000" w:usb3="00000000" w:csb0="0000019F" w:csb1="00000000"/>
    <w:embedRegular r:id="rId5" w:fontKey="{F6D6D6FF-FF99-4DEE-85C7-06C6A2B29506}"/>
  </w:font>
  <w:font w:name="Book Antiqua">
    <w:panose1 w:val="02040602050305030304"/>
    <w:charset w:val="00"/>
    <w:family w:val="roman"/>
    <w:pitch w:val="variable"/>
    <w:sig w:usb0="00000287" w:usb1="00000000" w:usb2="00000000" w:usb3="00000000" w:csb0="0000009F" w:csb1="00000000"/>
    <w:embedRegular r:id="rId6" w:fontKey="{BB1295E6-E1BE-4309-9D24-EBABFE44A67E}"/>
  </w:font>
  <w:font w:name="Segoe UI">
    <w:panose1 w:val="020B0502040204020203"/>
    <w:charset w:val="00"/>
    <w:family w:val="swiss"/>
    <w:pitch w:val="variable"/>
    <w:sig w:usb0="E10022FF" w:usb1="C000E47F" w:usb2="00000029" w:usb3="00000000" w:csb0="000001DF" w:csb1="00000000"/>
    <w:embedRegular r:id="rId7" w:fontKey="{B4433241-0312-4354-B78A-310856CAD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A2" w:rsidRPr="007D7D47" w:rsidRDefault="007D7D47" w:rsidP="007D7D47">
    <w:pPr>
      <w:pStyle w:val="Footer"/>
      <w:tabs>
        <w:tab w:val="clear" w:pos="4680"/>
        <w:tab w:val="clear" w:pos="9360"/>
        <w:tab w:val="center" w:pos="2995"/>
      </w:tabs>
      <w:spacing w:before="120"/>
    </w:pPr>
    <w:r>
      <w:t>[250</w:t>
    </w:r>
    <w:r w:rsidR="00AE586B">
      <w:t>-</w:t>
    </w:r>
    <w:r w:rsidR="00AE586B">
      <w:fldChar w:fldCharType="begin"/>
    </w:r>
    <w:r w:rsidR="00AE586B">
      <w:instrText xml:space="preserve"> PAGE  \* MERGEFORMAT </w:instrText>
    </w:r>
    <w:r w:rsidR="00AE586B">
      <w:fldChar w:fldCharType="separate"/>
    </w:r>
    <w:r w:rsidR="00491664">
      <w:rPr>
        <w:noProof/>
      </w:rPr>
      <w:t>4</w:t>
    </w:r>
    <w:r w:rsidR="00AE586B">
      <w:fldChar w:fldCharType="end"/>
    </w:r>
    <w:r w:rsidR="00AE58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86B" w:rsidRPr="007D7D47" w:rsidRDefault="00AE586B" w:rsidP="007D7D47">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sidR="004916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85" w:rsidRDefault="00331F85" w:rsidP="009F0C77">
      <w:r>
        <w:separator/>
      </w:r>
    </w:p>
  </w:footnote>
  <w:footnote w:type="continuationSeparator" w:id="0">
    <w:p w:rsidR="00331F85" w:rsidRDefault="00331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8DG17"/>
    <w:docVar w:name="CoverBillType" w:val="b"/>
    <w:docVar w:name="DocPath" w:val="L:\Council\bills\BBM\9578DG17.DOCX"/>
    <w:docVar w:name="dvBillNumber" w:val="250"/>
    <w:docVar w:name="dvBillNumberPrefix" w:val="S. "/>
    <w:docVar w:name="dvOriginalBody" w:val="Senate"/>
    <w:docVar w:name="dvSteno" w:val="BBM"/>
    <w:docVar w:name="NameofBody" w:val="s"/>
    <w:docVar w:name="vGroup2" w:val="Council"/>
  </w:docVars>
  <w:rsids>
    <w:rsidRoot w:val="00331F85"/>
    <w:rsid w:val="000263D9"/>
    <w:rsid w:val="00026C9A"/>
    <w:rsid w:val="000965A1"/>
    <w:rsid w:val="000C487D"/>
    <w:rsid w:val="000E1785"/>
    <w:rsid w:val="000F39F2"/>
    <w:rsid w:val="001023A4"/>
    <w:rsid w:val="0010776B"/>
    <w:rsid w:val="00133E66"/>
    <w:rsid w:val="00134ACF"/>
    <w:rsid w:val="00144E15"/>
    <w:rsid w:val="001517BF"/>
    <w:rsid w:val="001A4A62"/>
    <w:rsid w:val="001A681E"/>
    <w:rsid w:val="001D06CC"/>
    <w:rsid w:val="001D08F2"/>
    <w:rsid w:val="002037CA"/>
    <w:rsid w:val="002047A2"/>
    <w:rsid w:val="002321B6"/>
    <w:rsid w:val="0023696B"/>
    <w:rsid w:val="00250967"/>
    <w:rsid w:val="002759C5"/>
    <w:rsid w:val="00277DEE"/>
    <w:rsid w:val="00280D88"/>
    <w:rsid w:val="00294ABE"/>
    <w:rsid w:val="002A3EB4"/>
    <w:rsid w:val="00325348"/>
    <w:rsid w:val="00331F85"/>
    <w:rsid w:val="00393688"/>
    <w:rsid w:val="003D411E"/>
    <w:rsid w:val="003E3C1E"/>
    <w:rsid w:val="003E6148"/>
    <w:rsid w:val="003E7D04"/>
    <w:rsid w:val="00400EAA"/>
    <w:rsid w:val="0041760A"/>
    <w:rsid w:val="004203D7"/>
    <w:rsid w:val="00476926"/>
    <w:rsid w:val="004809EE"/>
    <w:rsid w:val="00491664"/>
    <w:rsid w:val="00496F7F"/>
    <w:rsid w:val="004B2A8B"/>
    <w:rsid w:val="004E560E"/>
    <w:rsid w:val="00511EE9"/>
    <w:rsid w:val="00521E00"/>
    <w:rsid w:val="00577C6C"/>
    <w:rsid w:val="0058501B"/>
    <w:rsid w:val="005C5AC4"/>
    <w:rsid w:val="0061228A"/>
    <w:rsid w:val="006215AA"/>
    <w:rsid w:val="006340D9"/>
    <w:rsid w:val="006426BB"/>
    <w:rsid w:val="00643B8E"/>
    <w:rsid w:val="00653ECC"/>
    <w:rsid w:val="00665EBC"/>
    <w:rsid w:val="00680479"/>
    <w:rsid w:val="0069470D"/>
    <w:rsid w:val="006A476C"/>
    <w:rsid w:val="006C6A93"/>
    <w:rsid w:val="006E02F9"/>
    <w:rsid w:val="006F3F76"/>
    <w:rsid w:val="007246D7"/>
    <w:rsid w:val="00753C04"/>
    <w:rsid w:val="00756946"/>
    <w:rsid w:val="00757F80"/>
    <w:rsid w:val="0076093A"/>
    <w:rsid w:val="00771EEC"/>
    <w:rsid w:val="00786819"/>
    <w:rsid w:val="007A325A"/>
    <w:rsid w:val="007C3099"/>
    <w:rsid w:val="007D7D47"/>
    <w:rsid w:val="007E72BE"/>
    <w:rsid w:val="007F1523"/>
    <w:rsid w:val="007F509E"/>
    <w:rsid w:val="007F5799"/>
    <w:rsid w:val="007F6947"/>
    <w:rsid w:val="00834A12"/>
    <w:rsid w:val="00872729"/>
    <w:rsid w:val="008D6B5E"/>
    <w:rsid w:val="008D70CF"/>
    <w:rsid w:val="008F4429"/>
    <w:rsid w:val="00932670"/>
    <w:rsid w:val="009352BB"/>
    <w:rsid w:val="00990668"/>
    <w:rsid w:val="009B397B"/>
    <w:rsid w:val="009F0C77"/>
    <w:rsid w:val="009F4DD1"/>
    <w:rsid w:val="00A0283C"/>
    <w:rsid w:val="00A64E80"/>
    <w:rsid w:val="00A741D9"/>
    <w:rsid w:val="00A85589"/>
    <w:rsid w:val="00A9741D"/>
    <w:rsid w:val="00AB0576"/>
    <w:rsid w:val="00AD4B17"/>
    <w:rsid w:val="00AE586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3E3E"/>
    <w:rsid w:val="00EB00A2"/>
    <w:rsid w:val="00EB1BF3"/>
    <w:rsid w:val="00EB2EF1"/>
    <w:rsid w:val="00EB55A2"/>
    <w:rsid w:val="00EF3EEE"/>
    <w:rsid w:val="00F149A7"/>
    <w:rsid w:val="00F50BAF"/>
    <w:rsid w:val="00F52C10"/>
    <w:rsid w:val="00F81FFD"/>
    <w:rsid w:val="00F85228"/>
    <w:rsid w:val="00F907F7"/>
    <w:rsid w:val="00F9492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239A9-C7EE-4553-8418-FFAA4175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E586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E586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AE586B"/>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E586B"/>
    <w:pPr>
      <w:spacing w:after="0" w:line="240" w:lineRule="auto"/>
    </w:pPr>
    <w:rPr>
      <w:sz w:val="24"/>
    </w:rPr>
  </w:style>
  <w:style w:type="paragraph" w:styleId="BalloonText">
    <w:name w:val="Balloon Text"/>
    <w:basedOn w:val="Normal"/>
    <w:link w:val="BalloonTextChar"/>
    <w:uiPriority w:val="99"/>
    <w:semiHidden/>
    <w:unhideWhenUsed/>
    <w:rsid w:val="00EB2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E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02CB3-19A5-42A3-96B6-33E0C5E3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5</Pages>
  <Words>1145</Words>
  <Characters>6160</Characters>
  <Application>Microsoft Office Word</Application>
  <DocSecurity>0</DocSecurity>
  <Lines>235</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250 Text of Previous Version (Jan. 24, 2017) - South Carolina Legislature Online</dc:title>
  <dc:subject/>
  <dc:creator>BRENDA MELTON</dc:creator>
  <cp:keywords/>
  <dc:description/>
  <cp:lastModifiedBy>Miriam Cook</cp:lastModifiedBy>
  <cp:revision>2</cp:revision>
  <cp:lastPrinted>2017-01-24T22:41:00Z</cp:lastPrinted>
  <dcterms:created xsi:type="dcterms:W3CDTF">2017-01-24T23:29:00Z</dcterms:created>
  <dcterms:modified xsi:type="dcterms:W3CDTF">2017-01-24T23:29:00Z</dcterms:modified>
</cp:coreProperties>
</file>