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747" w:rsidRDefault="00213725" w:rsidP="006C4378">
      <w:pPr>
        <w:tabs>
          <w:tab w:val="right" w:pos="5933"/>
        </w:tabs>
        <w:suppressAutoHyphens/>
      </w:pPr>
      <w:r>
        <w:t>AS PASSED BY THE SENATE</w:t>
      </w:r>
    </w:p>
    <w:p w:rsidR="00213725" w:rsidRDefault="00213725" w:rsidP="006C4378">
      <w:pPr>
        <w:tabs>
          <w:tab w:val="right" w:pos="5933"/>
        </w:tabs>
        <w:suppressAutoHyphens/>
      </w:pPr>
      <w:r>
        <w:t>February 2, 2017</w:t>
      </w:r>
    </w:p>
    <w:p w:rsidR="00213725" w:rsidRDefault="00213725" w:rsidP="006C4378">
      <w:pPr>
        <w:tabs>
          <w:tab w:val="right" w:pos="5933"/>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A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Young, Hembree</w:t>
      </w:r>
      <w:r w:rsidR="003E08BE">
        <w:t>,</w:t>
      </w:r>
      <w:r>
        <w:t xml:space="preserve"> Climer</w:t>
      </w:r>
      <w:r w:rsidR="003E08BE">
        <w:t xml:space="preserve"> and Gregory</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5A7EB3">
      <w:pPr>
        <w:tabs>
          <w:tab w:val="right" w:pos="5933"/>
        </w:tabs>
        <w:suppressAutoHyphens/>
      </w:pPr>
      <w:r>
        <w:t xml:space="preserve">S. Printed </w:t>
      </w:r>
      <w:r w:rsidR="00421747">
        <w:t>2/2</w:t>
      </w:r>
      <w:r>
        <w:t>/17--S.</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33854" w:rsidRPr="004811C4" w:rsidRDefault="006C4378"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r w:rsidR="00033854"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w:t>
      </w:r>
      <w:r w:rsidRPr="00E52EEC">
        <w:rPr>
          <w:strike/>
          <w:snapToGrid w:val="0"/>
        </w:rPr>
        <w:lastRenderedPageBreak/>
        <w:t>as the General Assembly shall by law provide, payable monthly out 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appointed by the Governor, with the advice and consent of the Senate. The Superintendent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 xml:space="preserve">160. A vacancy in the office of </w:t>
      </w:r>
      <w:r w:rsidR="003E08BE">
        <w:rPr>
          <w:snapToGrid w:val="0"/>
          <w:u w:val="single"/>
        </w:rPr>
        <w:t>s</w:t>
      </w:r>
      <w:r w:rsidRPr="00E52EEC">
        <w:rPr>
          <w:snapToGrid w:val="0"/>
          <w:u w:val="single"/>
        </w:rPr>
        <w:t>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21747"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w:t>
      </w:r>
      <w:r w:rsidRPr="00745567">
        <w:rPr>
          <w:snapToGrid w:val="0"/>
          <w:u w:val="single"/>
        </w:rPr>
        <w:t>C</w:t>
      </w:r>
      <w:r>
        <w:rPr>
          <w:snapToGrid w:val="0"/>
        </w:rPr>
        <w:t>)</w:t>
      </w:r>
      <w:r>
        <w:rPr>
          <w:snapToGrid w:val="0"/>
        </w:rPr>
        <w:tab/>
      </w:r>
      <w:r w:rsidRPr="000E0A3D">
        <w:rPr>
          <w:snapToGrid w:val="0"/>
          <w:u w:val="single"/>
        </w:rPr>
        <w:t>Any judicial action challenging the qualifications of a candidate or appointee, as appropriate, must be brought in circuit court within thirty days of the close of candidate filing or appointment for Superintendent of Education.</w:t>
      </w:r>
      <w:r>
        <w:rPr>
          <w:snapToGrid w:val="0"/>
        </w:rPr>
        <w:tab/>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Pr="00E52EEC">
        <w:t>100(B)(1)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 xml:space="preserve">in the case of the Department of Education, the State Superintendent of Education appointed by the Governor with the </w:t>
      </w:r>
      <w:r w:rsidRPr="00E52EEC">
        <w:rPr>
          <w:snapToGrid w:val="0"/>
          <w:u w:val="single"/>
        </w:rPr>
        <w:lastRenderedPageBreak/>
        <w:t>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w:t>
      </w:r>
      <w:r w:rsidR="003E08BE">
        <w:rPr>
          <w:szCs w:val="21"/>
        </w:rPr>
        <w:t>G</w:t>
      </w:r>
      <w:r w:rsidRPr="00E52EEC">
        <w:rPr>
          <w:szCs w:val="21"/>
        </w:rPr>
        <w:t xml:space="preserve">eneral </w:t>
      </w:r>
      <w:r w:rsidR="003E08BE">
        <w:rPr>
          <w:szCs w:val="21"/>
        </w:rPr>
        <w:t>E</w:t>
      </w:r>
      <w:r w:rsidRPr="00E52EEC">
        <w:rPr>
          <w:szCs w:val="21"/>
        </w:rPr>
        <w:t xml:space="preserv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711B9E" w:rsidRPr="00E6015A" w:rsidRDefault="004811C4" w:rsidP="0071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6.</w:t>
      </w:r>
      <w:r>
        <w:rPr>
          <w:snapToGrid w:val="0"/>
        </w:rPr>
        <w:tab/>
        <w:t xml:space="preserve">The provisions of Section 59-3-10(B), as contained in SECTION 1.A.,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and consent of the Senate, and are applicable beginning with the </w:t>
      </w:r>
      <w:r>
        <w:rPr>
          <w:snapToGrid w:val="0"/>
        </w:rPr>
        <w:lastRenderedPageBreak/>
        <w:t xml:space="preserve">2018 </w:t>
      </w:r>
      <w:r w:rsidR="003E08BE">
        <w:rPr>
          <w:snapToGrid w:val="0"/>
        </w:rPr>
        <w:t>G</w:t>
      </w:r>
      <w:r>
        <w:rPr>
          <w:snapToGrid w:val="0"/>
        </w:rPr>
        <w:t xml:space="preserve">eneral </w:t>
      </w:r>
      <w:r w:rsidR="003E08BE">
        <w:rPr>
          <w:snapToGrid w:val="0"/>
        </w:rPr>
        <w:t>E</w:t>
      </w:r>
      <w:r w:rsidR="00711B9E" w:rsidRPr="00E6015A">
        <w:rPr>
          <w:color w:val="000000" w:themeColor="text1"/>
          <w:u w:color="000000" w:themeColor="text1"/>
        </w:rPr>
        <w:t>SECTION</w:t>
      </w:r>
      <w:r w:rsidR="00711B9E" w:rsidRPr="00E6015A">
        <w:rPr>
          <w:color w:val="000000" w:themeColor="text1"/>
          <w:u w:color="000000" w:themeColor="text1"/>
        </w:rPr>
        <w:tab/>
        <w:t>2.</w:t>
      </w:r>
      <w:r w:rsidR="00711B9E" w:rsidRPr="00E6015A">
        <w:rPr>
          <w:color w:val="000000" w:themeColor="text1"/>
          <w:u w:color="000000" w:themeColor="text1"/>
        </w:rPr>
        <w:tab/>
        <w:t>Section 12</w:t>
      </w:r>
      <w:r w:rsidR="00711B9E" w:rsidRPr="00E6015A">
        <w:rPr>
          <w:color w:val="000000" w:themeColor="text1"/>
          <w:u w:color="000000" w:themeColor="text1"/>
        </w:rPr>
        <w:noBreakHyphen/>
        <w:t>6</w:t>
      </w:r>
      <w:r w:rsidR="00711B9E" w:rsidRPr="00E6015A">
        <w:rPr>
          <w:color w:val="000000" w:themeColor="text1"/>
          <w:u w:color="000000" w:themeColor="text1"/>
        </w:rPr>
        <w:noBreakHyphen/>
        <w:t>520 of the 1976 Code is amended to read:</w:t>
      </w:r>
    </w:p>
    <w:p w:rsidR="00711B9E" w:rsidRPr="00E6015A" w:rsidRDefault="00711B9E" w:rsidP="0071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1C4" w:rsidRDefault="00711B9E" w:rsidP="00711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6015A">
        <w:rPr>
          <w:color w:val="000000" w:themeColor="text1"/>
          <w:u w:color="000000" w:themeColor="text1"/>
        </w:rPr>
        <w:tab/>
        <w:t>“Section 12</w:t>
      </w:r>
      <w:r w:rsidRPr="00E6015A">
        <w:rPr>
          <w:color w:val="000000" w:themeColor="text1"/>
          <w:u w:color="000000" w:themeColor="text1"/>
        </w:rPr>
        <w:noBreakHyphen/>
        <w:t>6</w:t>
      </w:r>
      <w:r w:rsidRPr="00E6015A">
        <w:rPr>
          <w:color w:val="000000" w:themeColor="text1"/>
          <w:u w:color="000000" w:themeColor="text1"/>
        </w:rPr>
        <w:noBreakHyphen/>
        <w:t>520.</w:t>
      </w:r>
      <w:r w:rsidRPr="00E6015A">
        <w:rPr>
          <w:color w:val="000000" w:themeColor="text1"/>
          <w:u w:color="000000" w:themeColor="text1"/>
        </w:rPr>
        <w:tab/>
        <w:t xml:space="preserve">Each December </w:t>
      </w:r>
      <w:r w:rsidRPr="00E6015A">
        <w:rPr>
          <w:strike/>
          <w:color w:val="000000" w:themeColor="text1"/>
          <w:u w:color="000000" w:themeColor="text1"/>
        </w:rPr>
        <w:t>15</w:t>
      </w:r>
      <w:r w:rsidRPr="00E6015A">
        <w:rPr>
          <w:color w:val="000000" w:themeColor="text1"/>
          <w:u w:color="000000" w:themeColor="text1"/>
        </w:rPr>
        <w:t xml:space="preserve"> </w:t>
      </w:r>
      <w:r w:rsidRPr="00E6015A">
        <w:rPr>
          <w:color w:val="000000" w:themeColor="text1"/>
          <w:u w:val="single" w:color="000000" w:themeColor="text1"/>
        </w:rPr>
        <w:t>fifteenth</w:t>
      </w:r>
      <w:r w:rsidRPr="00E6015A">
        <w:rPr>
          <w:color w:val="000000" w:themeColor="text1"/>
          <w:u w:color="000000" w:themeColor="text1"/>
        </w:rPr>
        <w:t>, the department shall cumulatively adjust the brackets in Section 12</w:t>
      </w:r>
      <w:r w:rsidRPr="00E6015A">
        <w:rPr>
          <w:color w:val="000000" w:themeColor="text1"/>
          <w:u w:color="000000" w:themeColor="text1"/>
        </w:rPr>
        <w:noBreakHyphen/>
        <w:t>6</w:t>
      </w:r>
      <w:r w:rsidRPr="00E6015A">
        <w:rPr>
          <w:color w:val="000000" w:themeColor="text1"/>
          <w:u w:color="000000" w:themeColor="text1"/>
        </w:rPr>
        <w:noBreakHyphen/>
        <w:t>510 in the same manner that brackets are adjusted in Internal Revenue Code Section 1(f)</w:t>
      </w:r>
      <w:r w:rsidRPr="00E6015A">
        <w:rPr>
          <w:color w:val="000000" w:themeColor="text1"/>
          <w:u w:val="single" w:color="000000" w:themeColor="text1"/>
        </w:rPr>
        <w:t>,</w:t>
      </w:r>
      <w:r w:rsidRPr="00E6015A">
        <w:rPr>
          <w:color w:val="000000" w:themeColor="text1"/>
          <w:u w:color="000000" w:themeColor="text1"/>
        </w:rPr>
        <w:t>. However, the adjustment</w:t>
      </w:r>
      <w:r w:rsidRPr="00E6015A">
        <w:rPr>
          <w:strike/>
          <w:color w:val="000000" w:themeColor="text1"/>
          <w:u w:color="000000" w:themeColor="text1"/>
        </w:rPr>
        <w:t xml:space="preserve"> is limited to one</w:t>
      </w:r>
      <w:r w:rsidRPr="00E6015A">
        <w:rPr>
          <w:strike/>
          <w:color w:val="000000" w:themeColor="text1"/>
          <w:u w:color="000000" w:themeColor="text1"/>
        </w:rPr>
        <w:noBreakHyphen/>
        <w:t>half of the adjustment determined by Internal Revenue Code Section (1)(f</w:t>
      </w:r>
      <w:r w:rsidRPr="00E6015A">
        <w:rPr>
          <w:color w:val="000000" w:themeColor="text1"/>
          <w:u w:color="000000" w:themeColor="text1"/>
        </w:rPr>
        <w:t xml:space="preserve">), may not exceed four percent a year, and </w:t>
      </w:r>
      <w:r w:rsidRPr="00E6015A">
        <w:rPr>
          <w:color w:val="000000" w:themeColor="text1"/>
          <w:u w:val="single" w:color="000000" w:themeColor="text1"/>
        </w:rPr>
        <w:t>but</w:t>
      </w:r>
      <w:r w:rsidRPr="00E6015A">
        <w:rPr>
          <w:color w:val="000000" w:themeColor="text1"/>
          <w:u w:color="000000" w:themeColor="text1"/>
        </w:rPr>
        <w:t xml:space="preserve"> the rounding amount provided in </w:t>
      </w:r>
      <w:r w:rsidRPr="00E6015A">
        <w:rPr>
          <w:color w:val="000000" w:themeColor="text1"/>
          <w:u w:val="single" w:color="000000" w:themeColor="text1"/>
        </w:rPr>
        <w:t>Section</w:t>
      </w:r>
      <w:r w:rsidRPr="00E6015A">
        <w:rPr>
          <w:color w:val="000000" w:themeColor="text1"/>
          <w:u w:color="000000" w:themeColor="text1"/>
        </w:rPr>
        <w:t xml:space="preserve"> 1(f)(6) is </w:t>
      </w:r>
      <w:r w:rsidRPr="00E6015A">
        <w:rPr>
          <w:color w:val="000000" w:themeColor="text1"/>
          <w:u w:val="single" w:color="000000" w:themeColor="text1"/>
        </w:rPr>
        <w:t>deemed to be</w:t>
      </w:r>
      <w:r w:rsidRPr="00E6015A">
        <w:rPr>
          <w:color w:val="000000" w:themeColor="text1"/>
          <w:u w:color="000000" w:themeColor="text1"/>
        </w:rPr>
        <w:t xml:space="preserve"> ten dollars. The brackets, as adjusted, apply </w:t>
      </w:r>
      <w:r w:rsidRPr="00E6015A">
        <w:rPr>
          <w:strike/>
          <w:color w:val="000000" w:themeColor="text1"/>
          <w:u w:color="000000" w:themeColor="text1"/>
        </w:rPr>
        <w:t>in lieu</w:t>
      </w:r>
      <w:r w:rsidRPr="00E6015A">
        <w:rPr>
          <w:color w:val="000000" w:themeColor="text1"/>
          <w:u w:color="000000" w:themeColor="text1"/>
        </w:rPr>
        <w:t xml:space="preserve"> </w:t>
      </w:r>
      <w:r w:rsidRPr="00E6015A">
        <w:rPr>
          <w:color w:val="000000" w:themeColor="text1"/>
          <w:u w:val="single" w:color="000000" w:themeColor="text1"/>
        </w:rPr>
        <w:t>instead</w:t>
      </w:r>
      <w:r w:rsidRPr="00E6015A">
        <w:rPr>
          <w:color w:val="000000" w:themeColor="text1"/>
          <w:u w:color="000000" w:themeColor="text1"/>
        </w:rPr>
        <w:t xml:space="preserve"> of those provided in Section 12</w:t>
      </w:r>
      <w:r w:rsidRPr="00E6015A">
        <w:rPr>
          <w:color w:val="000000" w:themeColor="text1"/>
          <w:u w:color="000000" w:themeColor="text1"/>
        </w:rPr>
        <w:noBreakHyphen/>
        <w:t>6</w:t>
      </w:r>
      <w:r w:rsidRPr="00E6015A">
        <w:rPr>
          <w:color w:val="000000" w:themeColor="text1"/>
          <w:u w:color="000000" w:themeColor="text1"/>
        </w:rPr>
        <w:noBreakHyphen/>
        <w:t xml:space="preserve">510 for taxable years beginning in the succeeding calendar year. </w:t>
      </w:r>
      <w:r w:rsidRPr="00E6015A">
        <w:rPr>
          <w:strike/>
          <w:color w:val="000000" w:themeColor="text1"/>
          <w:u w:color="000000" w:themeColor="text1"/>
        </w:rPr>
        <w:t>Inflation adjustments must be made cumulatively to the income tax brackets.</w:t>
      </w:r>
      <w:r w:rsidRPr="00E6015A">
        <w:rPr>
          <w:color w:val="000000" w:themeColor="text1"/>
          <w:u w:color="000000" w:themeColor="text1"/>
        </w:rPr>
        <w:t>”</w:t>
      </w:r>
      <w:r w:rsidR="004811C4">
        <w:rPr>
          <w:snapToGrid w:val="0"/>
        </w:rPr>
        <w:t>lection.</w:t>
      </w:r>
    </w:p>
    <w:p w:rsidR="0073615C" w:rsidRDefault="0073615C"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4C57" w:rsidRDefault="000F4C57" w:rsidP="000F4C57">
      <w:pPr>
        <w:suppressAutoHyphens/>
      </w:pPr>
    </w:p>
    <w:sectPr w:rsidR="000F4C57"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843F7F-D917-4981-81AC-8C4EF5E1A181}"/>
    <w:embedBold r:id="rId2" w:fontKey="{4FBC1426-BC87-4DDC-9D13-989C8330257B}"/>
  </w:font>
  <w:font w:name="Calibri">
    <w:panose1 w:val="020F0502020204030204"/>
    <w:charset w:val="00"/>
    <w:family w:val="swiss"/>
    <w:pitch w:val="variable"/>
    <w:sig w:usb0="E00002FF" w:usb1="4000ACFF" w:usb2="00000001" w:usb3="00000000" w:csb0="0000019F" w:csb1="00000000"/>
    <w:embedRegular r:id="rId3" w:fontKey="{36C5534E-EC9C-4B0B-A20A-9EA25A4DBE95}"/>
  </w:font>
  <w:font w:name="Segoe UI">
    <w:panose1 w:val="020B0502040204020203"/>
    <w:charset w:val="00"/>
    <w:family w:val="swiss"/>
    <w:pitch w:val="variable"/>
    <w:sig w:usb0="E10022FF" w:usb1="C000E47F" w:usb2="00000029" w:usb3="00000000" w:csb0="000001DF" w:csb1="00000000"/>
    <w:embedRegular r:id="rId4" w:fontKey="{D1131A65-D0FF-438B-87DA-A7BC48E164A9}"/>
  </w:font>
  <w:font w:name="Cambria">
    <w:panose1 w:val="02040503050406030204"/>
    <w:charset w:val="00"/>
    <w:family w:val="roman"/>
    <w:pitch w:val="variable"/>
    <w:sig w:usb0="E00002FF" w:usb1="400004FF" w:usb2="00000000" w:usb3="00000000" w:csb0="0000019F" w:csb1="00000000"/>
    <w:embedRegular r:id="rId5" w:fontKey="{91118F36-9115-449C-9142-BA9DB99DE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0F4C57">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0F4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0F4C57"/>
    <w:rsid w:val="001023A4"/>
    <w:rsid w:val="0010776B"/>
    <w:rsid w:val="00133E66"/>
    <w:rsid w:val="00134ACF"/>
    <w:rsid w:val="00144E15"/>
    <w:rsid w:val="001A4A62"/>
    <w:rsid w:val="001A681E"/>
    <w:rsid w:val="001D08F2"/>
    <w:rsid w:val="002037CA"/>
    <w:rsid w:val="002047A2"/>
    <w:rsid w:val="00213725"/>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08BE"/>
    <w:rsid w:val="003E3C1E"/>
    <w:rsid w:val="003E6148"/>
    <w:rsid w:val="003E7D04"/>
    <w:rsid w:val="00400EAA"/>
    <w:rsid w:val="0041760A"/>
    <w:rsid w:val="004203D7"/>
    <w:rsid w:val="00421747"/>
    <w:rsid w:val="004809EE"/>
    <w:rsid w:val="004811C4"/>
    <w:rsid w:val="004B2A8B"/>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11B9E"/>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0680F"/>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02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F2118-3E4D-42CA-9350-EF13F03E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A78AFBAD.dotm</Template>
  <TotalTime>0</TotalTime>
  <Pages>5</Pages>
  <Words>1083</Words>
  <Characters>5609</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(Feb. 2, 2017) - South Carolina Legislature Online</dc:title>
  <dc:subject/>
  <dc:creator>angiemorgan</dc:creator>
  <cp:keywords/>
  <dc:description/>
  <cp:lastModifiedBy>Brent Walling</cp:lastModifiedBy>
  <cp:revision>2</cp:revision>
  <cp:lastPrinted>2017-02-02T17:38:00Z</cp:lastPrinted>
  <dcterms:created xsi:type="dcterms:W3CDTF">2017-02-02T17:42:00Z</dcterms:created>
  <dcterms:modified xsi:type="dcterms:W3CDTF">2017-02-02T17:42:00Z</dcterms:modified>
</cp:coreProperties>
</file>