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87B13" w:rsidRP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2017</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13" w:rsidRPr="00387B13" w:rsidRDefault="00387B13" w:rsidP="00387B13">
      <w:pPr>
        <w:tabs>
          <w:tab w:val="right" w:pos="5933"/>
        </w:tabs>
        <w:suppressAutoHyphens/>
      </w:pPr>
      <w:r>
        <w:tab/>
      </w:r>
      <w:r>
        <w:rPr>
          <w:b/>
          <w:sz w:val="36"/>
        </w:rPr>
        <w:t>H. 3176</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13" w:rsidRDefault="00387B13" w:rsidP="0038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Daning and Pitts</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2/8/17--H.</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87B13" w:rsidRPr="00387B13" w:rsidRDefault="00387B13" w:rsidP="0038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13" w:rsidRPr="00387B13" w:rsidRDefault="00387B13" w:rsidP="0038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3176) </w:t>
      </w:r>
      <w:r w:rsidRPr="00387B13">
        <w:rPr>
          <w:color w:val="000000" w:themeColor="text1"/>
          <w:u w:color="000000" w:themeColor="text1"/>
        </w:rPr>
        <w:t>to amend Section 15</w:t>
      </w:r>
      <w:r w:rsidRPr="00387B13">
        <w:rPr>
          <w:color w:val="000000" w:themeColor="text1"/>
          <w:u w:color="000000" w:themeColor="text1"/>
        </w:rPr>
        <w:noBreakHyphen/>
        <w:t>41</w:t>
      </w:r>
      <w:r w:rsidRPr="00387B13">
        <w:rPr>
          <w:color w:val="000000" w:themeColor="text1"/>
          <w:u w:color="000000" w:themeColor="text1"/>
        </w:rPr>
        <w:noBreakHyphen/>
        <w:t>30, as amended, Code of Laws of South Carolina, 1976, relating to an individual retirement account being exempt from attachment</w:t>
      </w:r>
      <w:r>
        <w:t>, etc., respectfully</w:t>
      </w:r>
    </w:p>
    <w:p w:rsidR="00387B13" w:rsidRPr="00387B13" w:rsidRDefault="00387B13" w:rsidP="0038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87B13" w:rsidRPr="00387B13" w:rsidRDefault="00387B13" w:rsidP="0038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7B13" w:rsidSect="00387B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4D5B" w:rsidRDefault="00454D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39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40A12">
        <w:rPr>
          <w:color w:val="000000" w:themeColor="text1"/>
          <w:u w:color="000000" w:themeColor="text1"/>
        </w:rPr>
        <w:t>TO AMEND SECTION 15</w:t>
      </w:r>
      <w:r>
        <w:rPr>
          <w:color w:val="000000" w:themeColor="text1"/>
          <w:u w:color="000000" w:themeColor="text1"/>
        </w:rPr>
        <w:noBreakHyphen/>
      </w:r>
      <w:r w:rsidRPr="00540A12">
        <w:rPr>
          <w:color w:val="000000" w:themeColor="text1"/>
          <w:u w:color="000000" w:themeColor="text1"/>
        </w:rPr>
        <w:t>41</w:t>
      </w:r>
      <w:r>
        <w:rPr>
          <w:color w:val="000000" w:themeColor="text1"/>
          <w:u w:color="000000" w:themeColor="text1"/>
        </w:rPr>
        <w:noBreakHyphen/>
      </w:r>
      <w:r w:rsidRPr="00540A12">
        <w:rPr>
          <w:color w:val="000000" w:themeColor="text1"/>
          <w:u w:color="000000" w:themeColor="text1"/>
        </w:rPr>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93B" w:rsidRDefault="00D239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93B" w:rsidRDefault="00D239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A" w:rsidRPr="00540A12" w:rsidRDefault="00D2393B" w:rsidP="0058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686A" w:rsidRPr="00540A12">
        <w:rPr>
          <w:color w:val="000000" w:themeColor="text1"/>
          <w:u w:color="000000" w:themeColor="text1"/>
        </w:rPr>
        <w:t>Section 15</w:t>
      </w:r>
      <w:r w:rsidR="0058686A">
        <w:rPr>
          <w:color w:val="000000" w:themeColor="text1"/>
          <w:u w:color="000000" w:themeColor="text1"/>
        </w:rPr>
        <w:noBreakHyphen/>
      </w:r>
      <w:r w:rsidR="0058686A" w:rsidRPr="00540A12">
        <w:rPr>
          <w:color w:val="000000" w:themeColor="text1"/>
          <w:u w:color="000000" w:themeColor="text1"/>
        </w:rPr>
        <w:t>41</w:t>
      </w:r>
      <w:r w:rsidR="0058686A">
        <w:rPr>
          <w:color w:val="000000" w:themeColor="text1"/>
          <w:u w:color="000000" w:themeColor="text1"/>
        </w:rPr>
        <w:noBreakHyphen/>
      </w:r>
      <w:r w:rsidR="0058686A" w:rsidRPr="00540A12">
        <w:rPr>
          <w:color w:val="000000" w:themeColor="text1"/>
          <w:u w:color="000000" w:themeColor="text1"/>
        </w:rPr>
        <w:t>30(A)(13) of the 1976 Code, as last amended by Act 153 of 2012, is further amended to read:</w:t>
      </w:r>
    </w:p>
    <w:p w:rsidR="0058686A" w:rsidRPr="00540A12" w:rsidRDefault="0058686A" w:rsidP="0058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86A" w:rsidRPr="00540A12" w:rsidRDefault="0058686A" w:rsidP="0058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0A12">
        <w:rPr>
          <w:color w:val="000000" w:themeColor="text1"/>
          <w:u w:color="000000" w:themeColor="text1"/>
        </w:rPr>
        <w:tab/>
        <w:t>“(13)</w:t>
      </w:r>
      <w:r w:rsidRPr="00540A12">
        <w:rPr>
          <w:color w:val="000000" w:themeColor="text1"/>
          <w:u w:color="000000" w:themeColor="text1"/>
        </w:rPr>
        <w:tab/>
        <w:t>The debtor</w:t>
      </w:r>
      <w:r w:rsidRPr="0058686A">
        <w:rPr>
          <w:color w:val="000000" w:themeColor="text1"/>
          <w:u w:color="000000" w:themeColor="text1"/>
        </w:rPr>
        <w:t>’</w:t>
      </w:r>
      <w:r w:rsidRPr="00540A12">
        <w:rPr>
          <w:color w:val="000000" w:themeColor="text1"/>
          <w:u w:color="000000" w:themeColor="text1"/>
        </w:rPr>
        <w:t xml:space="preserve">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w:t>
      </w:r>
      <w:r w:rsidRPr="0058686A">
        <w:rPr>
          <w:color w:val="000000" w:themeColor="text1"/>
          <w:u w:color="000000" w:themeColor="text1"/>
        </w:rPr>
        <w:t>‘</w:t>
      </w:r>
      <w:r w:rsidRPr="00540A12">
        <w:rPr>
          <w:color w:val="000000" w:themeColor="text1"/>
          <w:u w:color="000000" w:themeColor="text1"/>
        </w:rPr>
        <w:t>Internal Revenue Code</w:t>
      </w:r>
      <w:r w:rsidRPr="0058686A">
        <w:rPr>
          <w:color w:val="000000" w:themeColor="text1"/>
          <w:u w:color="000000" w:themeColor="text1"/>
        </w:rPr>
        <w:t>’</w:t>
      </w:r>
      <w:r w:rsidRPr="00540A12">
        <w:rPr>
          <w:color w:val="000000" w:themeColor="text1"/>
          <w:u w:color="000000" w:themeColor="text1"/>
        </w:rPr>
        <w:t xml:space="preserve"> has the meaning provided in Section 12</w:t>
      </w:r>
      <w:r>
        <w:rPr>
          <w:color w:val="000000" w:themeColor="text1"/>
          <w:u w:color="000000" w:themeColor="text1"/>
        </w:rPr>
        <w:noBreakHyphen/>
      </w:r>
      <w:r w:rsidRPr="00540A12">
        <w:rPr>
          <w:color w:val="000000" w:themeColor="text1"/>
          <w:u w:color="000000" w:themeColor="text1"/>
        </w:rPr>
        <w:t>6</w:t>
      </w:r>
      <w:r>
        <w:rPr>
          <w:color w:val="000000" w:themeColor="text1"/>
          <w:u w:color="000000" w:themeColor="text1"/>
        </w:rPr>
        <w:noBreakHyphen/>
      </w:r>
      <w:r w:rsidRPr="00540A12">
        <w:rPr>
          <w:color w:val="000000" w:themeColor="text1"/>
          <w:u w:color="000000" w:themeColor="text1"/>
        </w:rPr>
        <w:t xml:space="preserve">40(A).  The interest of an individual under a retirement plan shall be exempt from creditor process </w:t>
      </w:r>
      <w:r w:rsidRPr="00540A12">
        <w:rPr>
          <w:strike/>
          <w:color w:val="000000" w:themeColor="text1"/>
          <w:u w:color="000000" w:themeColor="text1"/>
        </w:rPr>
        <w:t>to the same extent permitted in Section 522(d) under federal bankruptcy law</w:t>
      </w:r>
      <w:r w:rsidRPr="00540A12">
        <w:rPr>
          <w:color w:val="000000" w:themeColor="text1"/>
          <w:u w:color="000000" w:themeColor="text1"/>
        </w:rPr>
        <w:t xml:space="preserve"> and is an exception to Section 15</w:t>
      </w:r>
      <w:r>
        <w:rPr>
          <w:color w:val="000000" w:themeColor="text1"/>
          <w:u w:color="000000" w:themeColor="text1"/>
        </w:rPr>
        <w:noBreakHyphen/>
      </w:r>
      <w:r w:rsidRPr="00540A12">
        <w:rPr>
          <w:color w:val="000000" w:themeColor="text1"/>
          <w:u w:color="000000" w:themeColor="text1"/>
        </w:rPr>
        <w:t>41</w:t>
      </w:r>
      <w:r>
        <w:rPr>
          <w:color w:val="000000" w:themeColor="text1"/>
          <w:u w:color="000000" w:themeColor="text1"/>
        </w:rPr>
        <w:noBreakHyphen/>
      </w:r>
      <w:r w:rsidRPr="00540A12">
        <w:rPr>
          <w:color w:val="000000" w:themeColor="text1"/>
          <w:u w:color="000000" w:themeColor="text1"/>
        </w:rPr>
        <w:t>35.  The exemption provided by this section shall be available whether such individual has an interest in the retirement plan as a participant, beneficiary, contingent annuitant, alternate payee, or otherwise.”</w:t>
      </w:r>
    </w:p>
    <w:p w:rsidR="0058686A" w:rsidRPr="00540A12" w:rsidRDefault="0058686A" w:rsidP="005868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3B" w:rsidRDefault="0058686A" w:rsidP="005868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0A12">
        <w:rPr>
          <w:color w:val="000000" w:themeColor="text1"/>
          <w:u w:color="000000" w:themeColor="text1"/>
        </w:rPr>
        <w:t>SECTION</w:t>
      </w:r>
      <w:r w:rsidRPr="00540A12">
        <w:rPr>
          <w:color w:val="000000" w:themeColor="text1"/>
          <w:u w:color="000000" w:themeColor="text1"/>
        </w:rPr>
        <w:tab/>
        <w:t>2.</w:t>
      </w:r>
      <w:r w:rsidRPr="00540A12">
        <w:rPr>
          <w:color w:val="000000" w:themeColor="text1"/>
          <w:u w:color="000000" w:themeColor="text1"/>
        </w:rPr>
        <w:tab/>
        <w:t>This act takes effect upon approval by the Governor.</w:t>
      </w:r>
    </w:p>
    <w:p w:rsidR="00C632FF" w:rsidRDefault="005868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77E" w:rsidRDefault="00C5677E" w:rsidP="00C5677E">
      <w:pPr>
        <w:suppressAutoHyphens/>
      </w:pPr>
    </w:p>
    <w:sectPr w:rsidR="00C5677E" w:rsidSect="00387B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93B" w:rsidRDefault="00D2393B" w:rsidP="009F0C77">
      <w:r>
        <w:separator/>
      </w:r>
    </w:p>
  </w:endnote>
  <w:endnote w:type="continuationSeparator" w:id="0">
    <w:p w:rsidR="00D2393B" w:rsidRDefault="00D239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E7001C-A841-496B-9C5C-FD81A4B48522}"/>
    <w:embedBold r:id="rId2" w:fontKey="{87179E49-5AF7-4E6F-A73A-99C7F66C7EE3}"/>
  </w:font>
  <w:font w:name="Calibri">
    <w:panose1 w:val="020F0502020204030204"/>
    <w:charset w:val="00"/>
    <w:family w:val="swiss"/>
    <w:pitch w:val="variable"/>
    <w:sig w:usb0="E00002FF" w:usb1="4000ACFF" w:usb2="00000001" w:usb3="00000000" w:csb0="0000019F" w:csb1="00000000"/>
    <w:embedRegular r:id="rId3" w:fontKey="{371A4D98-B437-448B-8397-B01FA8FF8C04}"/>
  </w:font>
  <w:font w:name="Cambria">
    <w:panose1 w:val="02040503050406030204"/>
    <w:charset w:val="00"/>
    <w:family w:val="roman"/>
    <w:pitch w:val="variable"/>
    <w:sig w:usb0="E00002FF" w:usb1="400004FF" w:usb2="00000000" w:usb3="00000000" w:csb0="0000019F" w:csb1="00000000"/>
    <w:embedRegular r:id="rId4" w:fontKey="{8CB2132C-0F3B-43E6-B245-864A226FA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2FF" w:rsidRPr="00454D5B" w:rsidRDefault="00454D5B" w:rsidP="00454D5B">
    <w:pPr>
      <w:pStyle w:val="Footer"/>
      <w:tabs>
        <w:tab w:val="clear" w:pos="4680"/>
        <w:tab w:val="clear" w:pos="9360"/>
        <w:tab w:val="center" w:pos="2995"/>
      </w:tabs>
      <w:spacing w:before="120"/>
    </w:pPr>
    <w:r>
      <w:t>[3176</w:t>
    </w:r>
    <w:r w:rsidR="00387B13">
      <w:t>-</w:t>
    </w:r>
    <w:r w:rsidR="00387B13">
      <w:fldChar w:fldCharType="begin"/>
    </w:r>
    <w:r w:rsidR="00387B13">
      <w:instrText xml:space="preserve"> PAGE  \* MERGEFORMAT </w:instrText>
    </w:r>
    <w:r w:rsidR="00387B13">
      <w:fldChar w:fldCharType="separate"/>
    </w:r>
    <w:r w:rsidR="006E5414">
      <w:rPr>
        <w:noProof/>
      </w:rPr>
      <w:t>1</w:t>
    </w:r>
    <w:r w:rsidR="00387B13">
      <w:fldChar w:fldCharType="end"/>
    </w:r>
    <w:r w:rsidR="00387B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B13" w:rsidRPr="00454D5B" w:rsidRDefault="00387B13" w:rsidP="00454D5B">
    <w:pPr>
      <w:pStyle w:val="Footer"/>
      <w:tabs>
        <w:tab w:val="clear" w:pos="4680"/>
        <w:tab w:val="clear" w:pos="9360"/>
        <w:tab w:val="center" w:pos="2995"/>
      </w:tabs>
      <w:spacing w:before="120"/>
    </w:pPr>
    <w:r>
      <w:t>[3176]</w:t>
    </w:r>
    <w:r>
      <w:tab/>
    </w:r>
    <w:r>
      <w:fldChar w:fldCharType="begin"/>
    </w:r>
    <w:r>
      <w:instrText xml:space="preserve"> PAGE  \* MERGEFORMAT </w:instrText>
    </w:r>
    <w:r>
      <w:fldChar w:fldCharType="separate"/>
    </w:r>
    <w:r w:rsidR="00C567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93B" w:rsidRDefault="00D2393B" w:rsidP="009F0C77">
      <w:r>
        <w:separator/>
      </w:r>
    </w:p>
  </w:footnote>
  <w:footnote w:type="continuationSeparator" w:id="0">
    <w:p w:rsidR="00D2393B" w:rsidRDefault="00D239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8AHB17"/>
    <w:docVar w:name="CoverBillType" w:val="b"/>
    <w:docVar w:name="docpath" w:val="L:\Council\bills\BBM\9518AHB17.DOCX"/>
    <w:docVar w:name="dvBillNumber" w:val="3176"/>
    <w:docVar w:name="dvBillNumberPrefix" w:val="H. "/>
    <w:docVar w:name="dvOriginalBody" w:val="House"/>
    <w:docVar w:name="dvSteno" w:val="BBM"/>
    <w:docVar w:name="NameofBody" w:val="h"/>
    <w:docVar w:name="vgroup2" w:val="Council"/>
  </w:docVars>
  <w:rsids>
    <w:rsidRoot w:val="00D2393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14E0"/>
    <w:rsid w:val="0037079A"/>
    <w:rsid w:val="00387B13"/>
    <w:rsid w:val="003C4DAB"/>
    <w:rsid w:val="003D01E8"/>
    <w:rsid w:val="003E5288"/>
    <w:rsid w:val="003F6D79"/>
    <w:rsid w:val="0041760A"/>
    <w:rsid w:val="00417C01"/>
    <w:rsid w:val="004403BD"/>
    <w:rsid w:val="00454D5B"/>
    <w:rsid w:val="00461441"/>
    <w:rsid w:val="004809EE"/>
    <w:rsid w:val="004E7D54"/>
    <w:rsid w:val="005273C6"/>
    <w:rsid w:val="00530A69"/>
    <w:rsid w:val="00545593"/>
    <w:rsid w:val="00577C6C"/>
    <w:rsid w:val="0058686A"/>
    <w:rsid w:val="005C2FE2"/>
    <w:rsid w:val="005E2BC9"/>
    <w:rsid w:val="00605102"/>
    <w:rsid w:val="006215AA"/>
    <w:rsid w:val="00652F7C"/>
    <w:rsid w:val="006913C9"/>
    <w:rsid w:val="0069470D"/>
    <w:rsid w:val="006A0E6C"/>
    <w:rsid w:val="006E5414"/>
    <w:rsid w:val="00734F00"/>
    <w:rsid w:val="007A70AE"/>
    <w:rsid w:val="008362E8"/>
    <w:rsid w:val="008A1768"/>
    <w:rsid w:val="008F0F33"/>
    <w:rsid w:val="008F4429"/>
    <w:rsid w:val="0094021A"/>
    <w:rsid w:val="009B44AF"/>
    <w:rsid w:val="009C6A0B"/>
    <w:rsid w:val="009F0C77"/>
    <w:rsid w:val="009F4DD1"/>
    <w:rsid w:val="00A41684"/>
    <w:rsid w:val="00A64E80"/>
    <w:rsid w:val="00A72776"/>
    <w:rsid w:val="00A72BCD"/>
    <w:rsid w:val="00A741D9"/>
    <w:rsid w:val="00A833AB"/>
    <w:rsid w:val="00A9741D"/>
    <w:rsid w:val="00AD4B17"/>
    <w:rsid w:val="00B412D4"/>
    <w:rsid w:val="00BE3C22"/>
    <w:rsid w:val="00C0345E"/>
    <w:rsid w:val="00C3483A"/>
    <w:rsid w:val="00C5677E"/>
    <w:rsid w:val="00C632FF"/>
    <w:rsid w:val="00C74E9D"/>
    <w:rsid w:val="00C82FD3"/>
    <w:rsid w:val="00C92819"/>
    <w:rsid w:val="00CC6B7B"/>
    <w:rsid w:val="00CD2089"/>
    <w:rsid w:val="00D2393B"/>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68CC3-F5A6-4DB3-9083-63D63EFF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FBE53-451B-4836-BFE0-194404B16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8ED6C84B.dotm</Template>
  <TotalTime>0</TotalTime>
  <Pages>3</Pages>
  <Words>343</Words>
  <Characters>1802</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3176 Text of Previous Version (Feb. 8, 2017) - South Carolina Legislature Online</dc:title>
  <dc:creator>BRENDA MELTON</dc:creator>
  <cp:lastModifiedBy>Lauren Hicks</cp:lastModifiedBy>
  <cp:revision>2</cp:revision>
  <dcterms:created xsi:type="dcterms:W3CDTF">2017-02-08T21:26:00Z</dcterms:created>
  <dcterms:modified xsi:type="dcterms:W3CDTF">2017-02-08T21:26:00Z</dcterms:modified>
</cp:coreProperties>
</file>