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SECTION</w:t>
      </w:r>
      <w:r w:rsidRPr="00CC2EBC">
        <w:rPr>
          <w:color w:val="000000" w:themeColor="text1"/>
          <w:u w:color="000000" w:themeColor="text1"/>
        </w:rPr>
        <w:tab/>
        <w:t>1.</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910 of the 1976 Code, as last amended by Act 22 of 2015, is further amended to read:</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910.</w:t>
      </w:r>
      <w:r w:rsidRPr="00CC2EBC">
        <w:rPr>
          <w:color w:val="000000" w:themeColor="text1"/>
          <w:u w:color="000000" w:themeColor="text1"/>
        </w:rPr>
        <w:tab/>
        <w:t>(A)</w:t>
      </w:r>
      <w:r w:rsidRPr="00CC2EBC">
        <w:rPr>
          <w:color w:val="000000" w:themeColor="text1"/>
          <w:u w:color="000000" w:themeColor="text1"/>
        </w:rPr>
        <w:tab/>
        <w:t xml:space="preserve">Applications for expungement of all criminal records must be administered by the solicitor’s office in each circuit in the State as authorized pursuant to: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w:t>
      </w:r>
      <w:r w:rsidRPr="00CC2EBC">
        <w:rPr>
          <w:color w:val="000000" w:themeColor="text1"/>
          <w:u w:color="000000" w:themeColor="text1"/>
        </w:rPr>
        <w:tab/>
        <w:t>Section 34</w:t>
      </w:r>
      <w:r w:rsidRPr="00CC2EBC">
        <w:rPr>
          <w:color w:val="000000" w:themeColor="text1"/>
          <w:u w:color="000000" w:themeColor="text1"/>
        </w:rPr>
        <w:noBreakHyphen/>
        <w:t>11</w:t>
      </w:r>
      <w:r w:rsidRPr="00CC2EBC">
        <w:rPr>
          <w:color w:val="000000" w:themeColor="text1"/>
          <w:u w:color="000000" w:themeColor="text1"/>
        </w:rPr>
        <w:noBreakHyphen/>
        <w:t xml:space="preserve">90(e), first offense misdemeanor fraudulent check;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(2)</w:t>
      </w:r>
      <w:r w:rsidRPr="00CC2EBC">
        <w:rPr>
          <w:color w:val="000000" w:themeColor="text1"/>
          <w:u w:color="000000" w:themeColor="text1"/>
        </w:rPr>
        <w:tab/>
        <w:t>Section 44</w:t>
      </w:r>
      <w:r w:rsidRPr="00CC2EBC">
        <w:rPr>
          <w:color w:val="000000" w:themeColor="text1"/>
          <w:u w:color="000000" w:themeColor="text1"/>
        </w:rPr>
        <w:noBreakHyphen/>
        <w:t>53</w:t>
      </w:r>
      <w:r w:rsidRPr="00CC2EBC">
        <w:rPr>
          <w:color w:val="000000" w:themeColor="text1"/>
          <w:u w:color="000000" w:themeColor="text1"/>
        </w:rPr>
        <w:noBreakHyphen/>
        <w:t xml:space="preserve">450(b), conditional discharge;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(3)</w:t>
      </w:r>
      <w:r w:rsidRPr="00CC2EBC">
        <w:rPr>
          <w:color w:val="000000" w:themeColor="text1"/>
          <w:u w:color="000000" w:themeColor="text1"/>
        </w:rPr>
        <w:tab/>
        <w:t>Section 22</w:t>
      </w:r>
      <w:r w:rsidRPr="00CC2EBC">
        <w:rPr>
          <w:color w:val="000000" w:themeColor="text1"/>
          <w:u w:color="000000" w:themeColor="text1"/>
        </w:rPr>
        <w:noBreakHyphen/>
        <w:t>5</w:t>
      </w:r>
      <w:r w:rsidRPr="00CC2EBC">
        <w:rPr>
          <w:color w:val="000000" w:themeColor="text1"/>
          <w:u w:color="000000" w:themeColor="text1"/>
        </w:rPr>
        <w:noBreakHyphen/>
        <w:t xml:space="preserve">910, first offense conviction in magistrates court;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(4)</w:t>
      </w:r>
      <w:r w:rsidRPr="00CC2EBC">
        <w:rPr>
          <w:color w:val="000000" w:themeColor="text1"/>
          <w:u w:color="000000" w:themeColor="text1"/>
        </w:rPr>
        <w:tab/>
        <w:t>Section 22</w:t>
      </w:r>
      <w:r w:rsidRPr="00CC2EBC">
        <w:rPr>
          <w:color w:val="000000" w:themeColor="text1"/>
          <w:u w:color="000000" w:themeColor="text1"/>
        </w:rPr>
        <w:noBreakHyphen/>
        <w:t>5</w:t>
      </w:r>
      <w:r w:rsidRPr="00CC2EBC">
        <w:rPr>
          <w:color w:val="000000" w:themeColor="text1"/>
          <w:u w:color="000000" w:themeColor="text1"/>
        </w:rPr>
        <w:noBreakHyphen/>
        <w:t xml:space="preserve">920, youthful offender act;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(5)</w:t>
      </w:r>
      <w:r w:rsidRPr="00CC2EBC">
        <w:rPr>
          <w:color w:val="000000" w:themeColor="text1"/>
          <w:u w:color="000000" w:themeColor="text1"/>
        </w:rPr>
        <w:tab/>
        <w:t>Section 56</w:t>
      </w:r>
      <w:r w:rsidRPr="00CC2EBC">
        <w:rPr>
          <w:color w:val="000000" w:themeColor="text1"/>
          <w:u w:color="000000" w:themeColor="text1"/>
        </w:rPr>
        <w:noBreakHyphen/>
        <w:t>5</w:t>
      </w:r>
      <w:r w:rsidRPr="00CC2EBC">
        <w:rPr>
          <w:color w:val="000000" w:themeColor="text1"/>
          <w:u w:color="000000" w:themeColor="text1"/>
        </w:rPr>
        <w:noBreakHyphen/>
        <w:t xml:space="preserve">750(f), first offense failure to stop when signaled by a law enforcement vehicle;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(6)</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150(a), pretrial intervention;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(7)</w:t>
      </w:r>
      <w:r w:rsidRPr="00CC2EBC">
        <w:rPr>
          <w:color w:val="000000" w:themeColor="text1"/>
          <w:u w:color="000000" w:themeColor="text1"/>
        </w:rPr>
        <w:tab/>
        <w:t>Section 17</w:t>
      </w:r>
      <w:r w:rsidRPr="00CC2EBC">
        <w:rPr>
          <w:color w:val="000000" w:themeColor="text1"/>
          <w:u w:color="000000" w:themeColor="text1"/>
        </w:rPr>
        <w:noBreakHyphen/>
        <w:t>1</w:t>
      </w:r>
      <w:r w:rsidRPr="00CC2EBC">
        <w:rPr>
          <w:color w:val="000000" w:themeColor="text1"/>
          <w:u w:color="000000" w:themeColor="text1"/>
        </w:rPr>
        <w:noBreakHyphen/>
        <w:t>40, criminal records destruction, except as provided in Section 17</w:t>
      </w:r>
      <w:r w:rsidRPr="00CC2EBC">
        <w:rPr>
          <w:color w:val="000000" w:themeColor="text1"/>
          <w:u w:color="000000" w:themeColor="text1"/>
        </w:rPr>
        <w:noBreakHyphen/>
        <w:t>22</w:t>
      </w:r>
      <w:r w:rsidRPr="00CC2EBC">
        <w:rPr>
          <w:color w:val="000000" w:themeColor="text1"/>
          <w:u w:color="000000" w:themeColor="text1"/>
        </w:rPr>
        <w:noBreakHyphen/>
        <w:t xml:space="preserve">950;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lastRenderedPageBreak/>
        <w:tab/>
      </w:r>
      <w:r w:rsidRPr="00CC2EBC">
        <w:rPr>
          <w:color w:val="000000" w:themeColor="text1"/>
          <w:u w:color="000000" w:themeColor="text1"/>
        </w:rPr>
        <w:tab/>
        <w:t>(8)</w:t>
      </w:r>
      <w:r w:rsidRPr="00CC2EBC">
        <w:rPr>
          <w:color w:val="000000" w:themeColor="text1"/>
          <w:u w:color="000000" w:themeColor="text1"/>
        </w:rPr>
        <w:tab/>
        <w:t>Section 63</w:t>
      </w:r>
      <w:r w:rsidRPr="00CC2EBC">
        <w:rPr>
          <w:color w:val="000000" w:themeColor="text1"/>
          <w:u w:color="000000" w:themeColor="text1"/>
        </w:rPr>
        <w:noBreakHyphen/>
        <w:t>19</w:t>
      </w:r>
      <w:r w:rsidRPr="00CC2EBC">
        <w:rPr>
          <w:color w:val="000000" w:themeColor="text1"/>
          <w:u w:color="000000" w:themeColor="text1"/>
        </w:rPr>
        <w:noBreakHyphen/>
        <w:t xml:space="preserve">2050, juvenile expungements;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(9)</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530(A), alcohol education program;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(10)</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330(A), traffic education program; and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(11)</w:t>
      </w:r>
      <w:r w:rsidRPr="00CC2EBC">
        <w:rPr>
          <w:color w:val="000000" w:themeColor="text1"/>
          <w:u w:color="000000" w:themeColor="text1"/>
        </w:rPr>
        <w:tab/>
        <w:t xml:space="preserve">any other statutory authorization. </w:t>
      </w:r>
    </w:p>
    <w:p w:rsidR="009C1FAB"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2EBC">
        <w:rPr>
          <w:color w:val="000000" w:themeColor="text1"/>
          <w:u w:color="000000" w:themeColor="text1"/>
        </w:rPr>
        <w:tab/>
        <w:t>(B)</w:t>
      </w:r>
      <w:r w:rsidRPr="00CC2EBC">
        <w:rPr>
          <w:color w:val="000000" w:themeColor="text1"/>
          <w:u w:color="000000" w:themeColor="text1"/>
        </w:rPr>
        <w:tab/>
        <w:t>A person’s eligibility for expungement of an offense contained in this section, or authorized by any other provision of law, must be based on the offense that the person pled guilty to or was convicted of committing and not on an offense for which the person may have been charged.</w:t>
      </w:r>
      <w:r w:rsidR="009C1FAB">
        <w:rPr>
          <w:color w:val="000000" w:themeColor="text1"/>
          <w:u w:color="000000" w:themeColor="text1"/>
        </w:rPr>
        <w:t xml:space="preserve">  </w:t>
      </w:r>
      <w:r w:rsidR="009C1FAB">
        <w:rPr>
          <w:color w:val="000000" w:themeColor="text1"/>
          <w:u w:val="single" w:color="000000" w:themeColor="text1"/>
        </w:rPr>
        <w:t>In addition, if an offense for which a person was convicted is subsequently repealed and the elements of th</w:t>
      </w:r>
      <w:r w:rsidR="00AA5421">
        <w:rPr>
          <w:color w:val="000000" w:themeColor="text1"/>
          <w:u w:val="single" w:color="000000" w:themeColor="text1"/>
        </w:rPr>
        <w:t xml:space="preserve">e offense are consistent with an existing </w:t>
      </w:r>
      <w:r w:rsidR="009C1FAB">
        <w:rPr>
          <w:color w:val="000000" w:themeColor="text1"/>
          <w:u w:val="single" w:color="000000" w:themeColor="text1"/>
        </w:rPr>
        <w:t xml:space="preserve">similar offense which is </w:t>
      </w:r>
      <w:r w:rsidR="00AA5421">
        <w:rPr>
          <w:color w:val="000000" w:themeColor="text1"/>
          <w:u w:val="single" w:color="000000" w:themeColor="text1"/>
        </w:rPr>
        <w:t>currently eligible for expungement</w:t>
      </w:r>
      <w:r w:rsidR="009C1FAB">
        <w:rPr>
          <w:color w:val="000000" w:themeColor="text1"/>
          <w:u w:val="single" w:color="000000" w:themeColor="text1"/>
        </w:rPr>
        <w:t>, a person’s eligibility for expungement of an offense must be based on the existing similar offense.</w:t>
      </w:r>
    </w:p>
    <w:p w:rsidR="00FB2E43" w:rsidRPr="00CC2EBC" w:rsidRDefault="009C1FAB"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FAB">
        <w:rPr>
          <w:color w:val="000000" w:themeColor="text1"/>
          <w:u w:color="000000" w:themeColor="text1"/>
        </w:rPr>
        <w:tab/>
      </w:r>
      <w:r>
        <w:rPr>
          <w:color w:val="000000" w:themeColor="text1"/>
          <w:u w:val="single" w:color="000000" w:themeColor="text1"/>
        </w:rPr>
        <w:t>(C)</w:t>
      </w:r>
      <w:r w:rsidRPr="009C1FAB">
        <w:rPr>
          <w:color w:val="000000" w:themeColor="text1"/>
          <w:u w:color="000000" w:themeColor="text1"/>
        </w:rPr>
        <w:tab/>
      </w:r>
      <w:r w:rsidR="00FB2E43" w:rsidRPr="00CC2EBC">
        <w:rPr>
          <w:color w:val="000000" w:themeColor="text1"/>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00FB2E43" w:rsidRPr="00CC2EBC">
        <w:rPr>
          <w:color w:val="000000" w:themeColor="text1"/>
          <w:u w:color="000000" w:themeColor="text1"/>
        </w:rPr>
        <w:t xml:space="preserve">” </w:t>
      </w:r>
    </w:p>
    <w:p w:rsidR="00FB2E43" w:rsidRDefault="00FB2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E43">
        <w:t>2</w:t>
      </w:r>
      <w:r>
        <w:t>.</w:t>
      </w:r>
      <w:r>
        <w:tab/>
        <w:t>This act takes effect upon approval by the Governor.</w:t>
      </w:r>
    </w:p>
    <w:p w:rsidR="00C95C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13FC" w:rsidRDefault="006A13FC" w:rsidP="006A13FC">
      <w:pPr>
        <w:suppressAutoHyphens/>
      </w:pPr>
    </w:p>
    <w:sectPr w:rsidR="006A13FC" w:rsidSect="006A1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D881B5-49FC-4146-A36D-32FCD815D163}"/>
    <w:embedBold r:id="rId2" w:fontKey="{A9550560-AC5B-4687-9FE3-2FCE72A328B4}"/>
  </w:font>
  <w:font w:name="Calibri">
    <w:panose1 w:val="020F0502020204030204"/>
    <w:charset w:val="00"/>
    <w:family w:val="swiss"/>
    <w:pitch w:val="variable"/>
    <w:sig w:usb0="E00002FF" w:usb1="4000ACFF" w:usb2="00000001" w:usb3="00000000" w:csb0="0000019F" w:csb1="00000000"/>
    <w:embedRegular r:id="rId3" w:fontKey="{E4DD1133-5070-4FA4-91AD-FF875E33CE1C}"/>
  </w:font>
  <w:font w:name="Segoe UI">
    <w:panose1 w:val="020B0502040204020203"/>
    <w:charset w:val="00"/>
    <w:family w:val="swiss"/>
    <w:pitch w:val="variable"/>
    <w:sig w:usb0="E10022FF" w:usb1="C000E47F" w:usb2="00000029" w:usb3="00000000" w:csb0="000001DF" w:csb1="00000000"/>
    <w:embedRegular r:id="rId4" w:fontKey="{A893AE23-0A01-4E99-90EC-3B35552DC969}"/>
  </w:font>
  <w:font w:name="Cambria">
    <w:panose1 w:val="02040503050406030204"/>
    <w:charset w:val="00"/>
    <w:family w:val="roman"/>
    <w:pitch w:val="variable"/>
    <w:sig w:usb0="E00002FF" w:usb1="400004FF" w:usb2="00000000" w:usb3="00000000" w:csb0="0000019F" w:csb1="00000000"/>
    <w:embedRegular r:id="rId5" w:fontKey="{4991C836-7956-4E72-BB0B-595D895EE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734F00"/>
    <w:rsid w:val="007A70AE"/>
    <w:rsid w:val="008362E8"/>
    <w:rsid w:val="0085786E"/>
    <w:rsid w:val="008A1768"/>
    <w:rsid w:val="008A489F"/>
    <w:rsid w:val="008F0F33"/>
    <w:rsid w:val="008F4429"/>
    <w:rsid w:val="0094021A"/>
    <w:rsid w:val="009B44AF"/>
    <w:rsid w:val="009C1FAB"/>
    <w:rsid w:val="009C6A0B"/>
    <w:rsid w:val="009F0C77"/>
    <w:rsid w:val="009F4DD1"/>
    <w:rsid w:val="00A02543"/>
    <w:rsid w:val="00A41684"/>
    <w:rsid w:val="00A64E80"/>
    <w:rsid w:val="00A72BCD"/>
    <w:rsid w:val="00A741D9"/>
    <w:rsid w:val="00A833AB"/>
    <w:rsid w:val="00A9741D"/>
    <w:rsid w:val="00AA5421"/>
    <w:rsid w:val="00AC34A2"/>
    <w:rsid w:val="00AC3A46"/>
    <w:rsid w:val="00AD1C9A"/>
    <w:rsid w:val="00AD4B17"/>
    <w:rsid w:val="00B412D4"/>
    <w:rsid w:val="00BE3C22"/>
    <w:rsid w:val="00C0345E"/>
    <w:rsid w:val="00C31C95"/>
    <w:rsid w:val="00C3483A"/>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4B9D1-64B6-4BF7-9905-EF698C71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368</Words>
  <Characters>2057</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(Dec. 15, 2016) - South Carolina Legislature Online</dc:title>
  <dc:creator>%USERNAME%</dc:creator>
  <cp:lastModifiedBy>S Volk</cp:lastModifiedBy>
  <cp:revision>2</cp:revision>
  <cp:lastPrinted>2016-12-01T16:16:00Z</cp:lastPrinted>
  <dcterms:created xsi:type="dcterms:W3CDTF">2016-12-16T04:20:00Z</dcterms:created>
  <dcterms:modified xsi:type="dcterms:W3CDTF">2016-12-16T04:20:00Z</dcterms:modified>
</cp:coreProperties>
</file>