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DEE" w:rsidRDefault="00923DEE"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B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2886">
        <w:rPr>
          <w:color w:val="000000" w:themeColor="text1"/>
          <w:u w:color="000000" w:themeColor="text1"/>
        </w:rPr>
        <w:t>TO AMEND THE CODE OF LAWS OF SOUTH CAROLINA, 1976, BY ADDING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 SO AS TO PROVIDE THAT IF PROPERTY WAS ASSESSED AS AGRICULTURAL PROPERTY OR AS FARM MACHINERY AND EQUIPMENT IN 2016, THE PROPERTY MUST CONTINUE TO BE ASSESSED WITH THE SAME ASSESSMENT RATIO UNLESS A CHANGE OF USE OCCURS.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B13" w:rsidRDefault="00C9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1B13" w:rsidRDefault="00C9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D0" w:rsidRPr="00642886" w:rsidRDefault="00C91B13"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0CD0" w:rsidRPr="00642886">
        <w:rPr>
          <w:color w:val="000000" w:themeColor="text1"/>
          <w:u w:color="000000" w:themeColor="text1"/>
        </w:rPr>
        <w:t>Article 3, Chapter 43, Title 12 of the 1976 Code is amended by adding:</w:t>
      </w: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2886">
        <w:rPr>
          <w:color w:val="000000" w:themeColor="text1"/>
          <w:u w:color="000000" w:themeColor="text1"/>
        </w:rPr>
        <w:tab/>
        <w:t>“Section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w:t>
      </w:r>
      <w:r w:rsidRPr="00642886">
        <w:rPr>
          <w:color w:val="000000" w:themeColor="text1"/>
          <w:u w:color="000000" w:themeColor="text1"/>
        </w:rPr>
        <w:tab/>
        <w:t>Notwithstanding any other provision of law, if in property tax year 2016 property was assessed as agricultural property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220(d) or assessed as farm machinery and equipment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220(b), the property must continue to be assessed with the same assessment ratio unless a change of use occurs.”</w:t>
      </w: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B13" w:rsidRDefault="00280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886">
        <w:rPr>
          <w:color w:val="000000" w:themeColor="text1"/>
          <w:u w:color="000000" w:themeColor="text1"/>
        </w:rPr>
        <w:t>SECTION</w:t>
      </w:r>
      <w:r w:rsidRPr="00642886">
        <w:rPr>
          <w:color w:val="000000" w:themeColor="text1"/>
          <w:u w:color="000000" w:themeColor="text1"/>
        </w:rPr>
        <w:tab/>
        <w:t>2.</w:t>
      </w:r>
      <w:r w:rsidRPr="00642886">
        <w:rPr>
          <w:color w:val="000000" w:themeColor="text1"/>
          <w:u w:color="000000" w:themeColor="text1"/>
        </w:rPr>
        <w:tab/>
        <w:t>This act takes effect upon approval by the Governor and first applies to property tax years beginning after 2016.</w:t>
      </w:r>
    </w:p>
    <w:p w:rsidR="000D7BB8" w:rsidRDefault="00280C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DEE" w:rsidRDefault="00923DEE" w:rsidP="00923DEE">
      <w:pPr>
        <w:suppressAutoHyphens/>
      </w:pPr>
    </w:p>
    <w:sectPr w:rsidR="00923DEE" w:rsidSect="00923D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B13" w:rsidRDefault="00C91B13" w:rsidP="009F0C77">
      <w:r>
        <w:separator/>
      </w:r>
    </w:p>
  </w:endnote>
  <w:endnote w:type="continuationSeparator" w:id="0">
    <w:p w:rsidR="00C91B13" w:rsidRDefault="00C91B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059B2-B1B2-4750-B54D-5C683EFCF783}"/>
    <w:embedBold r:id="rId2" w:fontKey="{069CA86A-9C28-4592-9839-3D863DB0E4DC}"/>
  </w:font>
  <w:font w:name="Calibri">
    <w:panose1 w:val="020F0502020204030204"/>
    <w:charset w:val="00"/>
    <w:family w:val="swiss"/>
    <w:pitch w:val="variable"/>
    <w:sig w:usb0="E00002FF" w:usb1="4000ACFF" w:usb2="00000001" w:usb3="00000000" w:csb0="0000019F" w:csb1="00000000"/>
    <w:embedRegular r:id="rId3" w:fontKey="{4C1F91CE-0C9C-49B6-948A-1E650072523D}"/>
  </w:font>
  <w:font w:name="Segoe UI">
    <w:panose1 w:val="020B0502040204020203"/>
    <w:charset w:val="00"/>
    <w:family w:val="swiss"/>
    <w:pitch w:val="variable"/>
    <w:sig w:usb0="E10022FF" w:usb1="C000E47F" w:usb2="00000029" w:usb3="00000000" w:csb0="000001DF" w:csb1="00000000"/>
    <w:embedRegular r:id="rId4" w:fontKey="{961E664F-E8D4-4512-80C1-7238B6200616}"/>
  </w:font>
  <w:font w:name="Cambria">
    <w:panose1 w:val="02040503050406030204"/>
    <w:charset w:val="00"/>
    <w:family w:val="roman"/>
    <w:pitch w:val="variable"/>
    <w:sig w:usb0="E00002FF" w:usb1="400004FF" w:usb2="00000000" w:usb3="00000000" w:csb0="0000019F" w:csb1="00000000"/>
    <w:embedRegular r:id="rId5" w:fontKey="{AC158321-5DF4-4D2C-B593-899DE67259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B8" w:rsidRPr="00923DEE" w:rsidRDefault="00923DEE" w:rsidP="00923DEE">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B13" w:rsidRDefault="00C91B13" w:rsidP="009F0C77">
      <w:r>
        <w:separator/>
      </w:r>
    </w:p>
  </w:footnote>
  <w:footnote w:type="continuationSeparator" w:id="0">
    <w:p w:rsidR="00C91B13" w:rsidRDefault="00C91B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0DG17"/>
    <w:docVar w:name="CoverBillType" w:val="b"/>
    <w:docVar w:name="DocPath" w:val="L:\Council\bills\BBM\9580DG17.DOCX"/>
    <w:docVar w:name="dvBillNumber" w:val="3463"/>
    <w:docVar w:name="dvBillNumberPrefix" w:val="H. "/>
    <w:docVar w:name="dvOriginalBody" w:val="House"/>
    <w:docVar w:name="dvSteno" w:val="BBM"/>
    <w:docVar w:name="NameofBody" w:val="h"/>
    <w:docVar w:name="vGroup2" w:val="Council"/>
  </w:docVars>
  <w:rsids>
    <w:rsidRoot w:val="00C91B13"/>
    <w:rsid w:val="00011869"/>
    <w:rsid w:val="00015CD6"/>
    <w:rsid w:val="000D7BB8"/>
    <w:rsid w:val="000E0100"/>
    <w:rsid w:val="000E1785"/>
    <w:rsid w:val="000F40FA"/>
    <w:rsid w:val="001035F1"/>
    <w:rsid w:val="0010776B"/>
    <w:rsid w:val="00133E66"/>
    <w:rsid w:val="001435A3"/>
    <w:rsid w:val="00146B3C"/>
    <w:rsid w:val="00146ED3"/>
    <w:rsid w:val="00151044"/>
    <w:rsid w:val="001D08F2"/>
    <w:rsid w:val="001D3A58"/>
    <w:rsid w:val="001D525B"/>
    <w:rsid w:val="001D7F4F"/>
    <w:rsid w:val="00205238"/>
    <w:rsid w:val="002321B6"/>
    <w:rsid w:val="00250967"/>
    <w:rsid w:val="002543C8"/>
    <w:rsid w:val="0025541D"/>
    <w:rsid w:val="00280CD0"/>
    <w:rsid w:val="00284AAE"/>
    <w:rsid w:val="002E5912"/>
    <w:rsid w:val="00301B21"/>
    <w:rsid w:val="00325348"/>
    <w:rsid w:val="0032732C"/>
    <w:rsid w:val="00336AD0"/>
    <w:rsid w:val="00356232"/>
    <w:rsid w:val="0037079A"/>
    <w:rsid w:val="003C4DAB"/>
    <w:rsid w:val="003D01E8"/>
    <w:rsid w:val="003E5288"/>
    <w:rsid w:val="003F6D79"/>
    <w:rsid w:val="0040262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3DE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B1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21FC0-6774-4884-AD13-71655EA3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0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C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EFA3D-958C-43C7-8455-F54B0DAA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Pages>
  <Words>159</Words>
  <Characters>792</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3463 Text of Previous Version (Jan. 12, 2017) - South Carolina Legislature Online</dc:title>
  <dc:creator>BRENDA MELTON</dc:creator>
  <cp:lastModifiedBy>S Volk</cp:lastModifiedBy>
  <cp:revision>2</cp:revision>
  <cp:lastPrinted>2017-01-09T21:12:00Z</cp:lastPrinted>
  <dcterms:created xsi:type="dcterms:W3CDTF">2017-01-12T16:08:00Z</dcterms:created>
  <dcterms:modified xsi:type="dcterms:W3CDTF">2017-01-12T16:08:00Z</dcterms:modified>
</cp:coreProperties>
</file>