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1C" w:rsidRDefault="004A43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E0C1C" w:rsidRDefault="004A43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w:t>
      </w:r>
      <w:r w:rsidR="00AE0C1C">
        <w:t>, 2017</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right" w:pos="5933"/>
        </w:tabs>
        <w:suppressAutoHyphens/>
      </w:pPr>
      <w:r>
        <w:tab/>
      </w:r>
      <w:r>
        <w:rPr>
          <w:b/>
          <w:sz w:val="36"/>
        </w:rPr>
        <w:t>S. 351</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65D">
        <w:t>Senator Alexander</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4A4314" w:rsidP="00267643">
      <w:pPr>
        <w:tabs>
          <w:tab w:val="right" w:pos="5933"/>
        </w:tabs>
        <w:suppressAutoHyphens/>
      </w:pPr>
      <w:r>
        <w:t>S. Printed 3/7</w:t>
      </w:r>
      <w:r w:rsidR="00AE0C1C">
        <w:t>/17--S.</w:t>
      </w:r>
      <w:r w:rsidR="00267643">
        <w:tab/>
        <w:t>[SEC 3/8/17 12:04 PM]</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981" w:rsidRPr="00DE1A9B"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C1C" w:rsidSect="00AE0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A0C" w:rsidRDefault="00D53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2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bookmarkEnd w:id="1"/>
    </w:p>
    <w:p w:rsidR="0010776B" w:rsidRDefault="004A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4314" w:rsidRDefault="004A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t>SECTION</w:t>
      </w:r>
      <w:r w:rsidRPr="00EB04EC">
        <w:tab/>
        <w:t>1.</w:t>
      </w:r>
      <w:r w:rsidRPr="00EB04EC">
        <w:tab/>
        <w:t>A.</w:t>
      </w:r>
      <w:r w:rsidRPr="00EB04EC">
        <w:tab/>
      </w:r>
      <w:r w:rsidRPr="00EB04EC">
        <w:rPr>
          <w:color w:val="000000" w:themeColor="text1"/>
          <w:u w:color="000000" w:themeColor="text1"/>
        </w:rPr>
        <w:t>Article 25, Chapter 6, Title 12 of the 1976 Code is amended by adding:</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“Section 12</w:t>
      </w:r>
      <w:r w:rsidRPr="00EB04EC">
        <w:rPr>
          <w:color w:val="000000" w:themeColor="text1"/>
          <w:u w:color="000000" w:themeColor="text1"/>
        </w:rPr>
        <w:noBreakHyphen/>
        <w:t>6</w:t>
      </w:r>
      <w:r w:rsidRPr="00EB04EC">
        <w:rPr>
          <w:color w:val="000000" w:themeColor="text1"/>
          <w:u w:color="000000" w:themeColor="text1"/>
        </w:rPr>
        <w:noBreakHyphen/>
        <w:t>3790.</w:t>
      </w:r>
      <w:r w:rsidRPr="00EB04EC">
        <w:rPr>
          <w:color w:val="000000" w:themeColor="text1"/>
          <w:u w:color="000000" w:themeColor="text1"/>
        </w:rPr>
        <w:tab/>
        <w:t>(A)(1)</w:t>
      </w:r>
      <w:r w:rsidRPr="00EB04EC">
        <w:rPr>
          <w:color w:val="000000" w:themeColor="text1"/>
          <w:u w:color="000000" w:themeColor="text1"/>
        </w:rPr>
        <w:tab/>
        <w:t>Beginning after 2016, and ending after 2021, there is allowed an income tax credit for each clinical rotation a physician serves as the preceptor for a medical school required clinical rotation, advanced practice nursing program required clinical rotation, and physician assistant program required clinical rotation.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physician’s practice consists of a combined total of Medicaid insured, Medicare insured, and self</w:t>
      </w:r>
      <w:r w:rsidRPr="00EB04EC">
        <w:rPr>
          <w:color w:val="000000" w:themeColor="text1"/>
          <w:u w:color="000000" w:themeColor="text1"/>
        </w:rPr>
        <w:noBreakHyphen/>
        <w:t>pay patients, then the credit is equal to one thousand dollars for each rotation served, not to exceed four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physician’s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If less than thirty percent of the physician’s practice consists of a combined total of Medicaid insured, Medicare insured, and self</w:t>
      </w:r>
      <w:r w:rsidRPr="00EB04EC">
        <w:rPr>
          <w:color w:val="000000" w:themeColor="text1"/>
          <w:u w:color="000000" w:themeColor="text1"/>
        </w:rPr>
        <w:noBreakHyphen/>
        <w:t>pay patients, then the credit is disallowed.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 xml:space="preserve">The credits allowed by this subsection are not cumulative and may not be combined.  </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(B)(1)</w:t>
      </w:r>
      <w:r w:rsidRPr="00EB04EC">
        <w:rPr>
          <w:color w:val="000000" w:themeColor="text1"/>
          <w:u w:color="000000" w:themeColor="text1"/>
        </w:rPr>
        <w:tab/>
        <w:t>Beginning after 2016 and ending after 2021, there is allowed an income tax credit for each clinical rotation an advanced practice registered nurse or physician assistant serves as the preceptor for an advanced practice nursing or physician assistant required clinical rotation.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five hundred dollars for each rotation served, not to exceed two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 xml:space="preserve">If less than thirty percent of the advance practice registered nurse’s or physician assistant’s practice consists of a </w:t>
      </w:r>
      <w:r w:rsidRPr="00EB04EC">
        <w:rPr>
          <w:color w:val="000000" w:themeColor="text1"/>
          <w:u w:color="000000" w:themeColor="text1"/>
        </w:rPr>
        <w:lastRenderedPageBreak/>
        <w:t>combined total of Medicaid insured, Medicare insured, and self</w:t>
      </w:r>
      <w:r w:rsidRPr="00EB04EC">
        <w:rPr>
          <w:color w:val="000000" w:themeColor="text1"/>
          <w:u w:color="000000" w:themeColor="text1"/>
        </w:rPr>
        <w:noBreakHyphen/>
        <w:t>pay patients, then the credit is disallowed.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The credits allowed by this subsection are not cumulative and may not be combined.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(C)</w:t>
      </w:r>
      <w:r w:rsidRPr="00EB04EC">
        <w:rPr>
          <w:color w:val="000000" w:themeColor="text1"/>
          <w:u w:color="000000" w:themeColor="text1"/>
        </w:rPr>
        <w:tab/>
        <w:t>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carry</w:t>
      </w:r>
      <w:r w:rsidRPr="00EB04EC">
        <w:rPr>
          <w:color w:val="000000" w:themeColor="text1"/>
          <w:u w:color="000000" w:themeColor="text1"/>
        </w:rPr>
        <w:noBreakHyphen/>
        <w:t>over may not be used for a taxable year that begins more than ten years from the year the credit was earned.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(D)</w:t>
      </w:r>
      <w:r w:rsidRPr="00EB04EC">
        <w:rPr>
          <w:color w:val="000000" w:themeColor="text1"/>
          <w:u w:color="000000" w:themeColor="text1"/>
        </w:rPr>
        <w:tab/>
        <w:t>Beginning after 2016, and ending after 2021, if a taxpayer earns the maximum annual credit amount allowed by this section, and the taxpayer serves additional rotations that otherwise would have qualified for the credit, then the taxpayer may claim a deduction in an amount equal to the amount that credit would have equaled.  A taxpayer may earn the deduction allowed by this subsection up to six times a tax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(E)</w:t>
      </w:r>
      <w:r w:rsidRPr="00EB04EC">
        <w:rPr>
          <w:color w:val="000000" w:themeColor="text1"/>
          <w:u w:color="000000" w:themeColor="text1"/>
        </w:rPr>
        <w:tab/>
        <w:t>By March thirsty</w:t>
      </w:r>
      <w:r w:rsidRPr="00EB04EC">
        <w:rPr>
          <w:color w:val="000000" w:themeColor="text1"/>
          <w:u w:color="000000" w:themeColor="text1"/>
        </w:rPr>
        <w:noBreakHyphen/>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color w:val="000000" w:themeColor="text1"/>
          <w:u w:color="000000" w:themeColor="text1"/>
        </w:rPr>
        <w:tab/>
        <w:t>(F)</w:t>
      </w:r>
      <w:r w:rsidRPr="00EB04EC">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04EC">
        <w:rPr>
          <w:color w:val="000000" w:themeColor="text1"/>
          <w:u w:color="000000" w:themeColor="text1"/>
        </w:rPr>
        <w:t>(G)</w:t>
      </w:r>
      <w:r w:rsidRPr="00EB04EC">
        <w:rPr>
          <w:color w:val="000000" w:themeColor="text1"/>
          <w:u w:color="000000" w:themeColor="text1"/>
        </w:rPr>
        <w:tab/>
        <w:t>For purposes of this section:</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Pr>
          <w:color w:val="000000" w:themeColor="text1"/>
          <w:u w:color="000000" w:themeColor="text1"/>
        </w:rPr>
        <w:t>(1)</w:t>
      </w:r>
      <w:r>
        <w:rPr>
          <w:color w:val="000000" w:themeColor="text1"/>
          <w:u w:color="000000" w:themeColor="text1"/>
        </w:rPr>
        <w:tab/>
        <w:t>‘Independent institution of higher learning’ has the same meaning as provided in Section 59-113-50.</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B04EC">
        <w:rPr>
          <w:color w:val="000000" w:themeColor="text1"/>
          <w:u w:color="000000" w:themeColor="text1"/>
        </w:rPr>
        <w:t>)</w:t>
      </w:r>
      <w:r w:rsidRPr="00EB04EC">
        <w:rPr>
          <w:color w:val="000000" w:themeColor="text1"/>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EB04EC">
        <w:rPr>
          <w:color w:val="000000" w:themeColor="text1"/>
          <w:u w:color="000000" w:themeColor="text1"/>
        </w:rPr>
        <w:t>)</w:t>
      </w:r>
      <w:r w:rsidRPr="00EB04EC">
        <w:rPr>
          <w:color w:val="000000" w:themeColor="text1"/>
          <w:u w:color="000000" w:themeColor="text1"/>
        </w:rPr>
        <w:tab/>
        <w:t>‘Medical school required clinical rotation’, ‘physician assistant program required clinical rotation’, or ‘advanced practice nursing program required clinical rotation’ means a clinical rotation for a public teaching institution</w:t>
      </w:r>
      <w:r>
        <w:rPr>
          <w:color w:val="000000" w:themeColor="text1"/>
          <w:u w:color="000000" w:themeColor="text1"/>
        </w:rPr>
        <w:t xml:space="preserve"> or independent institution of higher learning</w:t>
      </w:r>
      <w:r w:rsidRPr="00EB04EC">
        <w:rPr>
          <w:color w:val="000000" w:themeColor="text1"/>
          <w:u w:color="000000" w:themeColor="text1"/>
        </w:rPr>
        <w:t xml:space="preserve"> which:</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(a)</w:t>
      </w:r>
      <w:r w:rsidRPr="00EB04EC">
        <w:rPr>
          <w:color w:val="000000" w:themeColor="text1"/>
          <w:u w:color="000000" w:themeColor="text1"/>
        </w:rPr>
        <w:tab/>
        <w:t xml:space="preserve">is established for a student who is enrolled in a South Carolina </w:t>
      </w:r>
      <w:r>
        <w:rPr>
          <w:color w:val="000000" w:themeColor="text1"/>
          <w:u w:color="000000" w:themeColor="text1"/>
        </w:rPr>
        <w:t>public teaching institution or an independent institution of higher learning:</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267643">
        <w:rPr>
          <w:color w:val="000000" w:themeColor="text1"/>
          <w:u w:color="000000" w:themeColor="text1"/>
        </w:rPr>
        <w:tab/>
      </w:r>
      <w:r>
        <w:rPr>
          <w:color w:val="000000" w:themeColor="text1"/>
          <w:u w:color="000000" w:themeColor="text1"/>
        </w:rPr>
        <w:t>medical school;</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physician assistant program; or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EB04EC">
        <w:rPr>
          <w:color w:val="000000" w:themeColor="text1"/>
          <w:u w:color="000000" w:themeColor="text1"/>
        </w:rPr>
        <w:t>advanced practice nursing program; and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(b)</w:t>
      </w:r>
      <w:r w:rsidRPr="00EB04EC">
        <w:rPr>
          <w:color w:val="000000" w:themeColor="text1"/>
          <w:u w:color="000000" w:themeColor="text1"/>
        </w:rPr>
        <w:tab/>
        <w:t>includes a minimum of one hundred sixty hours of instruction in one of the following clinical settings:</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w:t>
      </w:r>
      <w:r w:rsidRPr="00EB04EC">
        <w:rPr>
          <w:color w:val="000000" w:themeColor="text1"/>
          <w:u w:color="000000" w:themeColor="text1"/>
        </w:rPr>
        <w:tab/>
      </w:r>
      <w:r w:rsidRPr="00EB04EC">
        <w:rPr>
          <w:color w:val="000000" w:themeColor="text1"/>
          <w:u w:color="000000" w:themeColor="text1"/>
        </w:rPr>
        <w:tab/>
        <w:t>family medicine;</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w:t>
      </w:r>
      <w:r w:rsidRPr="00EB04EC">
        <w:rPr>
          <w:color w:val="000000" w:themeColor="text1"/>
          <w:u w:color="000000" w:themeColor="text1"/>
        </w:rPr>
        <w:tab/>
        <w:t xml:space="preserve">internal medicine; </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(iii)</w:t>
      </w:r>
      <w:r w:rsidRPr="00EB04EC">
        <w:rPr>
          <w:color w:val="000000" w:themeColor="text1"/>
          <w:u w:color="000000" w:themeColor="text1"/>
        </w:rPr>
        <w:tab/>
        <w:t>pediatrics;</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(iv)</w:t>
      </w:r>
      <w:r w:rsidRPr="00EB04EC">
        <w:rPr>
          <w:color w:val="000000" w:themeColor="text1"/>
          <w:u w:color="000000" w:themeColor="text1"/>
        </w:rPr>
        <w:tab/>
        <w:t>obstetrics and gynecology;</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w:t>
      </w:r>
      <w:r w:rsidRPr="00EB04EC">
        <w:rPr>
          <w:color w:val="000000" w:themeColor="text1"/>
          <w:u w:color="000000" w:themeColor="text1"/>
        </w:rPr>
        <w:tab/>
        <w:t>emergency medicine;</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w:t>
      </w:r>
      <w:r w:rsidRPr="00EB04EC">
        <w:rPr>
          <w:color w:val="000000" w:themeColor="text1"/>
          <w:u w:color="000000" w:themeColor="text1"/>
        </w:rPr>
        <w:tab/>
        <w:t>psychiatry;</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(vii)</w:t>
      </w:r>
      <w:r w:rsidRPr="00EB04EC">
        <w:rPr>
          <w:color w:val="000000" w:themeColor="text1"/>
          <w:u w:color="000000" w:themeColor="text1"/>
        </w:rPr>
        <w:tab/>
        <w:t>general surgery under the guidance of a physician, advanced practice registered nurse, or physician assistant.”</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snapToGrid w:val="0"/>
        </w:rPr>
        <w:t>B.</w:t>
      </w:r>
      <w:r w:rsidRPr="00EB04EC">
        <w:rPr>
          <w:snapToGrid w:val="0"/>
        </w:rPr>
        <w:tab/>
        <w:t>Section 12-6-1140 of the 1976 Code, as last amended by Act 165 of 2016, is amended further by adding an appropriately numbered item at the end to read:</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EB04EC">
        <w:rPr>
          <w:snapToGrid w:val="0"/>
        </w:rPr>
        <w:tab/>
        <w:t>“(  )</w:t>
      </w:r>
      <w:r>
        <w:rPr>
          <w:snapToGrid w:val="0"/>
        </w:rPr>
        <w:t>(a)</w:t>
      </w:r>
      <w:r w:rsidRPr="00EB04EC">
        <w:rPr>
          <w:snapToGrid w:val="0"/>
        </w:rPr>
        <w:tab/>
        <w:t>amounts earned pursuant to Section 12-6-3790</w:t>
      </w:r>
      <w:r>
        <w:rPr>
          <w:snapToGrid w:val="0"/>
        </w:rPr>
        <w:t>(D)</w:t>
      </w:r>
      <w:r w:rsidRPr="00EB04EC">
        <w:rPr>
          <w:snapToGrid w:val="0"/>
        </w:rPr>
        <w:t xml:space="preserve"> for </w:t>
      </w:r>
      <w:r w:rsidRPr="00EB04EC">
        <w:rPr>
          <w:color w:val="000000" w:themeColor="text1"/>
          <w:u w:color="000000" w:themeColor="text1"/>
        </w:rPr>
        <w:t xml:space="preserve">each clinical rotation a physician serves as </w:t>
      </w:r>
      <w:r>
        <w:rPr>
          <w:color w:val="000000" w:themeColor="text1"/>
          <w:u w:color="000000" w:themeColor="text1"/>
        </w:rPr>
        <w:t xml:space="preserve">the </w:t>
      </w:r>
      <w:r w:rsidRPr="00EB04EC">
        <w:rPr>
          <w:color w:val="000000" w:themeColor="text1"/>
          <w:u w:color="000000" w:themeColor="text1"/>
        </w:rPr>
        <w:t>preceptor for a medical school required clinical rotation, advanced practice nursing program required clinical rotation, and physician assistant program required clinical rotation</w:t>
      </w:r>
      <w:r>
        <w:rPr>
          <w:color w:val="000000" w:themeColor="text1"/>
          <w:u w:color="000000" w:themeColor="text1"/>
        </w:rPr>
        <w:t>.</w:t>
      </w:r>
    </w:p>
    <w:p w:rsidR="000B2A5C" w:rsidRPr="005964EA"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B04EC">
        <w:rPr>
          <w:snapToGrid w:val="0"/>
        </w:rPr>
        <w:t>amounts earned pursuant to Section 12-6-3790</w:t>
      </w:r>
      <w:r>
        <w:rPr>
          <w:snapToGrid w:val="0"/>
        </w:rPr>
        <w:t>(D)</w:t>
      </w:r>
      <w:r w:rsidRPr="00EB04EC">
        <w:rPr>
          <w:snapToGrid w:val="0"/>
        </w:rPr>
        <w:t xml:space="preserve"> for </w:t>
      </w:r>
      <w:r>
        <w:rPr>
          <w:color w:val="000000" w:themeColor="text1"/>
          <w:u w:color="000000" w:themeColor="text1"/>
        </w:rPr>
        <w:t xml:space="preserve">each clinical rotation an </w:t>
      </w:r>
      <w:r w:rsidRPr="00EB04EC">
        <w:rPr>
          <w:color w:val="000000" w:themeColor="text1"/>
          <w:u w:color="000000" w:themeColor="text1"/>
        </w:rPr>
        <w:t>advanced practice registered nurse or physician assistant serves as the preceptor for an advanced practice nursing or physician assistant required clinical rotation.</w:t>
      </w:r>
      <w:r>
        <w:rPr>
          <w:color w:val="000000" w:themeColor="text1"/>
          <w:u w:color="000000" w:themeColor="text1"/>
        </w:rPr>
        <w: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Default="000B2A5C"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9060A2" w:rsidRDefault="000B2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95F" w:rsidRDefault="00D5695F" w:rsidP="00D5695F">
      <w:pPr>
        <w:suppressAutoHyphens/>
      </w:pPr>
    </w:p>
    <w:sectPr w:rsidR="00D5695F" w:rsidSect="00AE0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1C" w:rsidRDefault="00AE0C1C" w:rsidP="009F0C77">
      <w:r>
        <w:separator/>
      </w:r>
    </w:p>
  </w:endnote>
  <w:endnote w:type="continuationSeparator" w:id="0">
    <w:p w:rsidR="00AE0C1C" w:rsidRDefault="00AE0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8C74FC-9E78-4271-9359-68F69756DDE3}"/>
    <w:embedBold r:id="rId2" w:fontKey="{E4017C87-0BF6-4857-9DFB-EF31A028FEE9}"/>
  </w:font>
  <w:font w:name="Calibri">
    <w:panose1 w:val="020F0502020204030204"/>
    <w:charset w:val="00"/>
    <w:family w:val="swiss"/>
    <w:pitch w:val="variable"/>
    <w:sig w:usb0="E00002FF" w:usb1="4000ACFF" w:usb2="00000001" w:usb3="00000000" w:csb0="0000019F" w:csb1="00000000"/>
    <w:embedRegular r:id="rId3" w:fontKey="{8171979B-FA89-4A63-9F5B-C0DDEF3C30C6}"/>
  </w:font>
  <w:font w:name="Cambria">
    <w:panose1 w:val="02040503050406030204"/>
    <w:charset w:val="00"/>
    <w:family w:val="roman"/>
    <w:pitch w:val="variable"/>
    <w:sig w:usb0="E00002FF" w:usb1="400004FF" w:usb2="00000000" w:usb3="00000000" w:csb0="0000019F" w:csb1="00000000"/>
    <w:embedRegular r:id="rId4" w:fontKey="{00C92743-82DA-4AB9-902D-93FE7534B366}"/>
  </w:font>
  <w:font w:name="Segoe UI">
    <w:panose1 w:val="020B0502040204020203"/>
    <w:charset w:val="00"/>
    <w:family w:val="swiss"/>
    <w:pitch w:val="variable"/>
    <w:sig w:usb0="E10022FF" w:usb1="C000E47F" w:usb2="00000029" w:usb3="00000000" w:csb0="000001DF" w:csb1="00000000"/>
    <w:embedRegular r:id="rId5" w:fontKey="{BBAB3D7F-2C95-4499-A85D-ABB5AEB04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2676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D569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1C" w:rsidRDefault="00AE0C1C" w:rsidP="009F0C77">
      <w:r>
        <w:separator/>
      </w:r>
    </w:p>
  </w:footnote>
  <w:footnote w:type="continuationSeparator" w:id="0">
    <w:p w:rsidR="00AE0C1C" w:rsidRDefault="00AE0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39F2"/>
    <w:rsid w:val="001023A4"/>
    <w:rsid w:val="0010776B"/>
    <w:rsid w:val="00133E66"/>
    <w:rsid w:val="00134ACF"/>
    <w:rsid w:val="00144E15"/>
    <w:rsid w:val="001A4A62"/>
    <w:rsid w:val="001A681E"/>
    <w:rsid w:val="001D08F2"/>
    <w:rsid w:val="001D7345"/>
    <w:rsid w:val="002037CA"/>
    <w:rsid w:val="002047A2"/>
    <w:rsid w:val="002321B6"/>
    <w:rsid w:val="0023696B"/>
    <w:rsid w:val="00250967"/>
    <w:rsid w:val="00267643"/>
    <w:rsid w:val="002759C5"/>
    <w:rsid w:val="00277DEE"/>
    <w:rsid w:val="00280D88"/>
    <w:rsid w:val="00294ABE"/>
    <w:rsid w:val="002A3EB4"/>
    <w:rsid w:val="002E4981"/>
    <w:rsid w:val="00325348"/>
    <w:rsid w:val="00380CB6"/>
    <w:rsid w:val="00393688"/>
    <w:rsid w:val="003D411E"/>
    <w:rsid w:val="003E3C1E"/>
    <w:rsid w:val="003E6148"/>
    <w:rsid w:val="003E7D04"/>
    <w:rsid w:val="00400EAA"/>
    <w:rsid w:val="0041760A"/>
    <w:rsid w:val="004203D7"/>
    <w:rsid w:val="004809EE"/>
    <w:rsid w:val="004A431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506D6"/>
    <w:rsid w:val="00990668"/>
    <w:rsid w:val="009B397B"/>
    <w:rsid w:val="009F0C77"/>
    <w:rsid w:val="009F4DD1"/>
    <w:rsid w:val="00A64E80"/>
    <w:rsid w:val="00A72D98"/>
    <w:rsid w:val="00A741D9"/>
    <w:rsid w:val="00A85589"/>
    <w:rsid w:val="00A9741D"/>
    <w:rsid w:val="00AB0576"/>
    <w:rsid w:val="00AD4B17"/>
    <w:rsid w:val="00AE0C1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A0C"/>
    <w:rsid w:val="00D5695F"/>
    <w:rsid w:val="00D6260D"/>
    <w:rsid w:val="00D6662B"/>
    <w:rsid w:val="00D95E2F"/>
    <w:rsid w:val="00D970A9"/>
    <w:rsid w:val="00DB3AC0"/>
    <w:rsid w:val="00DC595D"/>
    <w:rsid w:val="00DC6813"/>
    <w:rsid w:val="00DE1A9B"/>
    <w:rsid w:val="00DE68F0"/>
    <w:rsid w:val="00DF3845"/>
    <w:rsid w:val="00DF7E17"/>
    <w:rsid w:val="00E556F2"/>
    <w:rsid w:val="00EB00A2"/>
    <w:rsid w:val="00EB1BF3"/>
    <w:rsid w:val="00EF3EEE"/>
    <w:rsid w:val="00F149A7"/>
    <w:rsid w:val="00F50BAF"/>
    <w:rsid w:val="00F52C10"/>
    <w:rsid w:val="00F81FFD"/>
    <w:rsid w:val="00F85228"/>
    <w:rsid w:val="00F907F7"/>
    <w:rsid w:val="00FB6773"/>
    <w:rsid w:val="00F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E0C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E0C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68CEF-54FA-4DE2-A4B8-AC0D012E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180CF4AC.dotm</Template>
  <TotalTime>0</TotalTime>
  <Pages>5</Pages>
  <Words>1238</Words>
  <Characters>6831</Characters>
  <Application>Microsoft Office Word</Application>
  <DocSecurity>0</DocSecurity>
  <Lines>178</Lines>
  <Paragraphs>51</Paragraphs>
  <ScaleCrop>false</ScaleCrop>
  <HeadingPairs>
    <vt:vector size="2" baseType="variant">
      <vt:variant>
        <vt:lpstr>Title</vt:lpstr>
      </vt:variant>
      <vt:variant>
        <vt:i4>1</vt:i4>
      </vt:variant>
    </vt:vector>
  </HeadingPairs>
  <TitlesOfParts>
    <vt:vector size="1" baseType="lpstr">
      <vt:lpstr>2017-2018 Bill 351 Text of Previous Version (Feb. 2, 2017) - South Carolina Legislature Online</vt:lpstr>
    </vt:vector>
  </TitlesOfParts>
  <Company> </Company>
  <LinksUpToDate>false</LinksUpToDate>
  <CharactersWithSpaces>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Text of Previous Version (Mar. 8, 2017) - South Carolina Legislature Online</dc:title>
  <dc:subject/>
  <dc:creator>BRENDA MELTON</dc:creator>
  <cp:keywords/>
  <dc:description/>
  <cp:lastModifiedBy>Derrick Williamson</cp:lastModifiedBy>
  <cp:revision>2</cp:revision>
  <cp:lastPrinted>2017-01-30T13:53:00Z</cp:lastPrinted>
  <dcterms:created xsi:type="dcterms:W3CDTF">2017-03-08T17:04:00Z</dcterms:created>
  <dcterms:modified xsi:type="dcterms:W3CDTF">2017-03-08T17:04:00Z</dcterms:modified>
</cp:coreProperties>
</file>