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01D" w:rsidRDefault="00FE201D"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D44C5" w:rsidRDefault="001D44C5"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C5" w:rsidRDefault="001D44C5"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C5" w:rsidRDefault="001D44C5"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C5" w:rsidRDefault="001D44C5"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C5" w:rsidRDefault="001D44C5"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C5" w:rsidRDefault="001D44C5"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9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14C8">
        <w:t>TO AMEND</w:t>
      </w:r>
      <w:r>
        <w:t xml:space="preserve"> SECTION 41</w:t>
      </w:r>
      <w:r w:rsidR="00311DE5">
        <w:noBreakHyphen/>
      </w:r>
      <w:r>
        <w:t>33</w:t>
      </w:r>
      <w:r w:rsidR="00311DE5">
        <w:noBreakHyphen/>
      </w:r>
      <w:r>
        <w:t>45, AS AMENDED, CODE OF LAWS OF SOUTH CAROLINA, 1976, RELATING TO THE REPORTS CONCERNING THE UNEMPLOYMENT TRUST FUND MADE BY THE DEPARTMENT OF EMPLOYMENT AND WORKFORCE REVIEW COMMITTEE, SO AS TO REMOVE REQUIREMENTS CONCERNING COST</w:t>
      </w:r>
      <w:r w:rsidR="00311DE5">
        <w:noBreakHyphen/>
      </w:r>
      <w:r>
        <w:t>SHIFTING; AND TO CREATE THE “DEPARTMENT OF WORKFORCE STATUTORY REVIEW STUDY COMMITTEE” TO REVIEW RECOMMENDATIONS OF THE LEGISLATIVE AUDIT COUNCIL AND RECOMMEND STATUTORY CHANGES NEEDED TO IMPLEMENT THE RECOMMENDATIONS OF THE COUNCIL.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989" w:rsidRDefault="00730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989" w:rsidRDefault="00730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58" w:rsidRPr="005D14C8" w:rsidRDefault="00730989"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6858" w:rsidRPr="005D14C8">
        <w:t>Section 41</w:t>
      </w:r>
      <w:r w:rsidR="00311DE5">
        <w:noBreakHyphen/>
      </w:r>
      <w:r w:rsidR="003F6858" w:rsidRPr="005D14C8">
        <w:t>33</w:t>
      </w:r>
      <w:r w:rsidR="00311DE5">
        <w:noBreakHyphen/>
      </w:r>
      <w:r w:rsidR="003F6858" w:rsidRPr="005D14C8">
        <w:t>45(B)(2) of the 1976 Code, as last amended by Act 146 of 2010, is further amended to read:</w:t>
      </w: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58" w:rsidRPr="003F685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DE56BF">
        <w:t xml:space="preserve">The annual assessment report also must contain an analysis of the cost paid to beneficiaries </w:t>
      </w:r>
      <w:r w:rsidRPr="007554F3">
        <w:rPr>
          <w:strike/>
        </w:rPr>
        <w:t>and cost</w:t>
      </w:r>
      <w:r w:rsidR="00311DE5">
        <w:rPr>
          <w:strike/>
        </w:rPr>
        <w:noBreakHyphen/>
      </w:r>
      <w:r w:rsidRPr="007554F3">
        <w:rPr>
          <w:strike/>
        </w:rPr>
        <w:t>shifting, if any,</w:t>
      </w:r>
      <w:r w:rsidRPr="00DE56BF">
        <w:t xml:space="preserve"> 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w:t>
      </w:r>
      <w:r w:rsidRPr="007554F3">
        <w:rPr>
          <w:strike/>
        </w:rPr>
        <w:t>The analysis also must include recommendations for adjusting the tax structure to address inequities that arise due to cost</w:t>
      </w:r>
      <w:r w:rsidR="00311DE5">
        <w:rPr>
          <w:strike/>
        </w:rPr>
        <w:noBreakHyphen/>
      </w:r>
      <w:r w:rsidRPr="007554F3">
        <w:rPr>
          <w:strike/>
        </w:rPr>
        <w:t>shifting.</w:t>
      </w:r>
      <w:r>
        <w:t>”</w:t>
      </w: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r>
      <w:r w:rsidRPr="005D14C8">
        <w:t>There is created the “Department of Workforce Statutory Revision Study Committee” to review recommendations by the Legislative Audit Council in its 2014 report, including:</w:t>
      </w: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14C8">
        <w:lastRenderedPageBreak/>
        <w:tab/>
      </w:r>
      <w:r>
        <w:tab/>
      </w:r>
      <w:r w:rsidRPr="005D14C8">
        <w:t>(1)</w:t>
      </w:r>
      <w:r>
        <w:tab/>
      </w:r>
      <w:r w:rsidRPr="005D14C8">
        <w:t xml:space="preserve">review conflicts between federal law and provisions </w:t>
      </w:r>
      <w:r w:rsidR="00480169">
        <w:t>en</w:t>
      </w:r>
      <w:r w:rsidRPr="005D14C8">
        <w:t xml:space="preserve">acted in Act 63 of 2011 concerning unemployment benefits for seasonal workers, particularly the </w:t>
      </w:r>
      <w:r w:rsidR="00480169">
        <w:t>s</w:t>
      </w:r>
      <w:r w:rsidRPr="005D14C8">
        <w:t>tate law</w:t>
      </w:r>
      <w:r w:rsidR="00311DE5" w:rsidRPr="00311DE5">
        <w:t>’</w:t>
      </w:r>
      <w:r w:rsidRPr="005D14C8">
        <w:t>s failure to include a uniform charging method, as required by Section 3303(a)(1) of the Federal Unemployment Tax Act, by charging seasonal employee accounts differently than others, and to deve</w:t>
      </w:r>
      <w:r w:rsidR="00480169">
        <w:t>lop recommendations for making s</w:t>
      </w:r>
      <w:r w:rsidRPr="005D14C8">
        <w:t>tate law conform with federal requirements;</w:t>
      </w: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14C8">
        <w:tab/>
      </w:r>
      <w:r>
        <w:tab/>
      </w:r>
      <w:r w:rsidRPr="005D14C8">
        <w:t>(2)</w:t>
      </w:r>
      <w:r>
        <w:tab/>
      </w:r>
      <w:r w:rsidRPr="005D14C8">
        <w:t>with the goal of ultimately requiring the Department of Employment and Workforce to only provide one trust fund report annually to the General Assembly, review Sections 41</w:t>
      </w:r>
      <w:r w:rsidR="00311DE5">
        <w:noBreakHyphen/>
      </w:r>
      <w:r w:rsidRPr="005D14C8">
        <w:t>33</w:t>
      </w:r>
      <w:r w:rsidR="00311DE5">
        <w:noBreakHyphen/>
      </w:r>
      <w:r w:rsidRPr="005D14C8">
        <w:t>45 and 41</w:t>
      </w:r>
      <w:r w:rsidR="00311DE5">
        <w:noBreakHyphen/>
      </w:r>
      <w:r w:rsidRPr="005D14C8">
        <w:t>29</w:t>
      </w:r>
      <w:r w:rsidR="00311DE5">
        <w:noBreakHyphen/>
      </w:r>
      <w:r w:rsidRPr="005D14C8">
        <w:t xml:space="preserve">280 and determine how to consolidate these requirements into one report; </w:t>
      </w: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D14C8">
        <w:tab/>
        <w:t>(3)</w:t>
      </w:r>
      <w:r>
        <w:tab/>
      </w:r>
      <w:r w:rsidRPr="005D14C8">
        <w:t xml:space="preserve">review and clarify the duties of the Department of Workforce Review Committee created </w:t>
      </w:r>
      <w:r w:rsidR="00480169">
        <w:t>pursuant to</w:t>
      </w:r>
      <w:r w:rsidRPr="005D14C8">
        <w:t xml:space="preserve"> Section 41</w:t>
      </w:r>
      <w:r w:rsidR="00311DE5">
        <w:noBreakHyphen/>
      </w:r>
      <w:r w:rsidRPr="005D14C8">
        <w:t>27</w:t>
      </w:r>
      <w:r w:rsidR="00311DE5">
        <w:noBreakHyphen/>
      </w:r>
      <w:r w:rsidRPr="005D14C8">
        <w:t>700, and the extent to which the committee is performing those duties; and</w:t>
      </w: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D14C8">
        <w:tab/>
        <w:t>(4)</w:t>
      </w:r>
      <w:r>
        <w:tab/>
      </w:r>
      <w:r w:rsidRPr="005D14C8">
        <w:t>examine the contingency assessment to determine if the tax rate should be maintained, eliminated, or reduced.</w:t>
      </w:r>
    </w:p>
    <w:p w:rsidR="003F6858" w:rsidRPr="003F685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6858">
        <w:t>(B)</w:t>
      </w:r>
      <w:r>
        <w:tab/>
      </w:r>
      <w:r w:rsidRPr="003F6858">
        <w:t xml:space="preserve">Membership of the study committee must </w:t>
      </w:r>
      <w:r w:rsidR="00480169">
        <w:t xml:space="preserve">be </w:t>
      </w:r>
      <w:r w:rsidRPr="003F6858">
        <w:t xml:space="preserve">comprised of: </w:t>
      </w:r>
    </w:p>
    <w:p w:rsidR="003F6858" w:rsidRPr="003F685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6858">
        <w:tab/>
        <w:t>(1)</w:t>
      </w:r>
      <w:r>
        <w:tab/>
      </w:r>
      <w:r w:rsidRPr="003F6858">
        <w:t xml:space="preserve">two members of the House of Representatives Labor, Commerce and Industry Committee, appointed </w:t>
      </w:r>
      <w:r w:rsidR="00480169">
        <w:t xml:space="preserve">by </w:t>
      </w:r>
      <w:r w:rsidRPr="003F6858">
        <w:t>that committee</w:t>
      </w:r>
      <w:r w:rsidR="00311DE5" w:rsidRPr="00311DE5">
        <w:t>’</w:t>
      </w:r>
      <w:r w:rsidRPr="003F6858">
        <w:t xml:space="preserve">s chair;  </w:t>
      </w:r>
    </w:p>
    <w:p w:rsidR="003F6858" w:rsidRPr="003F685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6858">
        <w:tab/>
        <w:t>(2)</w:t>
      </w:r>
      <w:r>
        <w:tab/>
      </w:r>
      <w:r w:rsidRPr="003F6858">
        <w:t>two members of the Senate Labor, Commerce and Industry Committee, appointed</w:t>
      </w:r>
      <w:r w:rsidR="00480169">
        <w:t xml:space="preserve"> by</w:t>
      </w:r>
      <w:r w:rsidRPr="003F6858">
        <w:t xml:space="preserve"> that committee</w:t>
      </w:r>
      <w:r w:rsidR="00311DE5" w:rsidRPr="00311DE5">
        <w:t>’</w:t>
      </w:r>
      <w:r w:rsidRPr="003F6858">
        <w:t xml:space="preserve">s chair; and </w:t>
      </w:r>
    </w:p>
    <w:p w:rsidR="003F6858" w:rsidRPr="003F685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6858">
        <w:tab/>
      </w:r>
      <w:r>
        <w:tab/>
      </w:r>
      <w:r w:rsidRPr="003F6858">
        <w:t>(3)</w:t>
      </w:r>
      <w:r>
        <w:tab/>
      </w:r>
      <w:r w:rsidRPr="003F6858">
        <w:t>one member appointed by the Governor.</w:t>
      </w:r>
    </w:p>
    <w:p w:rsidR="00730989"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6858">
        <w:t>(C)</w:t>
      </w:r>
      <w:r>
        <w:tab/>
      </w:r>
      <w:r w:rsidRPr="003F6858">
        <w:t xml:space="preserve">The study committee shall provide a report to the General Assembly by December 31, 2017, at which time the study committee shall dissolve. Members of the study committee shall serve without mileage, per diem, or subsistence. A vacancy in the study committee must be filled in the </w:t>
      </w:r>
      <w:r w:rsidR="00480169">
        <w:t>original manner of appointment.</w:t>
      </w:r>
    </w:p>
    <w:p w:rsidR="00730989" w:rsidRDefault="00730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989" w:rsidRDefault="00730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6858">
        <w:t>3</w:t>
      </w:r>
      <w:r>
        <w:t>.</w:t>
      </w:r>
      <w:r>
        <w:tab/>
        <w:t>This act takes effect upon approval by the Governor.</w:t>
      </w:r>
    </w:p>
    <w:p w:rsidR="00BF4452" w:rsidRDefault="00311D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201D" w:rsidRDefault="00FE201D" w:rsidP="00FE201D">
      <w:pPr>
        <w:suppressAutoHyphens/>
      </w:pPr>
    </w:p>
    <w:sectPr w:rsidR="00FE201D" w:rsidSect="00FE20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989" w:rsidRDefault="00730989" w:rsidP="009F0C77">
      <w:r>
        <w:separator/>
      </w:r>
    </w:p>
  </w:endnote>
  <w:endnote w:type="continuationSeparator" w:id="0">
    <w:p w:rsidR="00730989" w:rsidRDefault="007309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97D704-4FC5-4D82-99B6-F9E400107B1D}"/>
    <w:embedBold r:id="rId2" w:fontKey="{66A9104F-5604-4F32-868F-9CF3356B4769}"/>
  </w:font>
  <w:font w:name="Calibri">
    <w:panose1 w:val="020F0502020204030204"/>
    <w:charset w:val="00"/>
    <w:family w:val="swiss"/>
    <w:pitch w:val="variable"/>
    <w:sig w:usb0="E00002FF" w:usb1="4000ACFF" w:usb2="00000001" w:usb3="00000000" w:csb0="0000019F" w:csb1="00000000"/>
    <w:embedRegular r:id="rId3" w:fontKey="{750F1C4A-76D1-47D0-AE21-CA2CA4E121F4}"/>
  </w:font>
  <w:font w:name="Segoe UI">
    <w:panose1 w:val="020B0502040204020203"/>
    <w:charset w:val="00"/>
    <w:family w:val="swiss"/>
    <w:pitch w:val="variable"/>
    <w:sig w:usb0="E10022FF" w:usb1="C000E47F" w:usb2="00000029" w:usb3="00000000" w:csb0="000001DF" w:csb1="00000000"/>
    <w:embedRegular r:id="rId4" w:fontKey="{16EBE797-652B-4A46-B77B-BA94EABD698E}"/>
  </w:font>
  <w:font w:name="Cambria">
    <w:panose1 w:val="02040503050406030204"/>
    <w:charset w:val="00"/>
    <w:family w:val="roman"/>
    <w:pitch w:val="variable"/>
    <w:sig w:usb0="E00002FF" w:usb1="400004FF" w:usb2="00000000" w:usb3="00000000" w:csb0="0000019F" w:csb1="00000000"/>
    <w:embedRegular r:id="rId5" w:fontKey="{6E69DF7D-77C6-41BD-966E-93C0566AFA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452" w:rsidRPr="00FE201D" w:rsidRDefault="00FE201D" w:rsidP="00FE201D">
    <w:pPr>
      <w:pStyle w:val="Footer"/>
      <w:tabs>
        <w:tab w:val="clear" w:pos="4680"/>
        <w:tab w:val="clear" w:pos="9360"/>
        <w:tab w:val="center" w:pos="2995"/>
      </w:tabs>
      <w:spacing w:before="120"/>
    </w:pPr>
    <w:r>
      <w:t>[3648]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989" w:rsidRDefault="00730989" w:rsidP="009F0C77">
      <w:r>
        <w:separator/>
      </w:r>
    </w:p>
  </w:footnote>
  <w:footnote w:type="continuationSeparator" w:id="0">
    <w:p w:rsidR="00730989" w:rsidRDefault="007309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3WAB17"/>
    <w:docVar w:name="CoverBillType" w:val="b"/>
    <w:docVar w:name="DocPath" w:val="L:\Council\bills\AGM\19093WAB17.DOCX"/>
    <w:docVar w:name="dvBillNumber" w:val="3648"/>
    <w:docVar w:name="dvBillNumberPrefix" w:val="H. "/>
    <w:docVar w:name="dvOriginalBody" w:val="House"/>
    <w:docVar w:name="dvSteno" w:val="AGM"/>
    <w:docVar w:name="NameofBody" w:val="h"/>
    <w:docVar w:name="vGroup2" w:val="Council"/>
  </w:docVars>
  <w:rsids>
    <w:rsidRoot w:val="00730989"/>
    <w:rsid w:val="00011869"/>
    <w:rsid w:val="00015CD6"/>
    <w:rsid w:val="000E0100"/>
    <w:rsid w:val="000E1785"/>
    <w:rsid w:val="000E5F6A"/>
    <w:rsid w:val="000F40FA"/>
    <w:rsid w:val="001035F1"/>
    <w:rsid w:val="0010776B"/>
    <w:rsid w:val="00133E66"/>
    <w:rsid w:val="001435A3"/>
    <w:rsid w:val="00146ED3"/>
    <w:rsid w:val="00151044"/>
    <w:rsid w:val="001D08F2"/>
    <w:rsid w:val="001D3A58"/>
    <w:rsid w:val="001D44C5"/>
    <w:rsid w:val="001D525B"/>
    <w:rsid w:val="001D7F4F"/>
    <w:rsid w:val="00205238"/>
    <w:rsid w:val="002321B6"/>
    <w:rsid w:val="00250967"/>
    <w:rsid w:val="002543C8"/>
    <w:rsid w:val="0025541D"/>
    <w:rsid w:val="00284AAE"/>
    <w:rsid w:val="002E5912"/>
    <w:rsid w:val="00301B21"/>
    <w:rsid w:val="00311DE5"/>
    <w:rsid w:val="00325348"/>
    <w:rsid w:val="0032732C"/>
    <w:rsid w:val="00336AD0"/>
    <w:rsid w:val="0037079A"/>
    <w:rsid w:val="00376594"/>
    <w:rsid w:val="003C4DAB"/>
    <w:rsid w:val="003D01E8"/>
    <w:rsid w:val="003E5288"/>
    <w:rsid w:val="003F6858"/>
    <w:rsid w:val="003F6D79"/>
    <w:rsid w:val="0041760A"/>
    <w:rsid w:val="00417C01"/>
    <w:rsid w:val="004403BD"/>
    <w:rsid w:val="00461441"/>
    <w:rsid w:val="00480169"/>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989"/>
    <w:rsid w:val="00734F00"/>
    <w:rsid w:val="007554F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445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096D"/>
    <w:rsid w:val="00F24442"/>
    <w:rsid w:val="00F50AE3"/>
    <w:rsid w:val="00F655B7"/>
    <w:rsid w:val="00F656BA"/>
    <w:rsid w:val="00F67CF1"/>
    <w:rsid w:val="00F728AA"/>
    <w:rsid w:val="00F840F0"/>
    <w:rsid w:val="00FB0D0D"/>
    <w:rsid w:val="00FB43B4"/>
    <w:rsid w:val="00FB6B0B"/>
    <w:rsid w:val="00FE201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E7BC01-0655-417D-993E-31741E130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1D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D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6BD70-315E-4E1E-9B1B-9164D078B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485</Words>
  <Characters>2688</Characters>
  <Application>Microsoft Office Word</Application>
  <DocSecurity>0</DocSecurity>
  <Lines>76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3648 Text of Previous Version (Feb. 2, 2017) - South Carolina Legislature Online</dc:title>
  <dc:creator>angiemorgan</dc:creator>
  <cp:lastModifiedBy>S Volk</cp:lastModifiedBy>
  <cp:revision>2</cp:revision>
  <cp:lastPrinted>2017-02-01T17:28:00Z</cp:lastPrinted>
  <dcterms:created xsi:type="dcterms:W3CDTF">2017-02-02T15:52:00Z</dcterms:created>
  <dcterms:modified xsi:type="dcterms:W3CDTF">2017-02-02T15:52:00Z</dcterms:modified>
</cp:coreProperties>
</file>