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1026" w:rsidRP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Pr="00C15126" w:rsidRDefault="00C15126" w:rsidP="00C15126">
      <w:pPr>
        <w:tabs>
          <w:tab w:val="right" w:pos="5933"/>
        </w:tabs>
        <w:suppressAutoHyphens/>
      </w:pPr>
      <w:r>
        <w:tab/>
      </w:r>
      <w:r>
        <w:rPr>
          <w:b/>
          <w:sz w:val="36"/>
        </w:rPr>
        <w:t>H. 4683</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Fry, Erickson, Clemmons, Duckworth, Yow, Martin, Hardee, Johnson, McGinnis, Crawford, Anderson, Herbkersman, Sottile, Hixon, Taylor, Arrington, D.C. Moss, Atwater, S. Rivers, Mace, Lucas, Bradley, Elliott, Atkinson, Bannister, Loftis, Williams, Jefferson and Hamilton</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C15126" w:rsidP="00395C49">
      <w:pPr>
        <w:tabs>
          <w:tab w:val="right" w:pos="5933"/>
        </w:tabs>
        <w:suppressAutoHyphens/>
      </w:pPr>
      <w:r>
        <w:t>S. Printed 3/29/18--S.</w:t>
      </w:r>
      <w:r w:rsidR="00395C49">
        <w:tab/>
        <w:t>[SEC 4/3/18 1:00 PM]</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4683) </w:t>
      </w:r>
      <w:r w:rsidRPr="00C15126">
        <w:rPr>
          <w:color w:val="000000" w:themeColor="text1"/>
          <w:u w:color="000000" w:themeColor="text1"/>
        </w:rPr>
        <w:t>to amend the Code of Laws of South Carolina, 1976, to enact the “Beachfront Management Reform Act”; to amend Section 44</w:t>
      </w:r>
      <w:r w:rsidRPr="00C15126">
        <w:rPr>
          <w:color w:val="000000" w:themeColor="text1"/>
          <w:u w:color="000000" w:themeColor="text1"/>
        </w:rPr>
        <w:noBreakHyphen/>
        <w:t>1</w:t>
      </w:r>
      <w:r w:rsidRPr="00C15126">
        <w:rPr>
          <w:color w:val="000000" w:themeColor="text1"/>
          <w:u w:color="000000" w:themeColor="text1"/>
        </w:rPr>
        <w:noBreakHyphen/>
        <w:t>60, relating to appeals</w:t>
      </w:r>
      <w:r>
        <w:t>, etc., respectfully</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Amend the bill, as and if amended, page 4, by striking lines 40 through 41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rPr>
          <w:snapToGrid w:val="0"/>
        </w:rPr>
        <w:tab/>
        <w:t>/</w:t>
      </w:r>
      <w:r w:rsidRPr="0006166F">
        <w:rPr>
          <w:snapToGrid w:val="0"/>
        </w:rPr>
        <w:tab/>
      </w:r>
      <w:r w:rsidRPr="0006166F">
        <w:rPr>
          <w:snapToGrid w:val="0"/>
        </w:rPr>
        <w:tab/>
      </w:r>
      <w:r w:rsidRPr="0006166F">
        <w:rPr>
          <w:strike/>
        </w:rPr>
        <w:t>position on December 31, 2017.</w:t>
      </w:r>
      <w:r w:rsidRPr="0006166F">
        <w:tab/>
      </w:r>
      <w:r w:rsidRPr="0006166F">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Amend the bill further, as and if amended, page 4, by striking lines 33 through 34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w:t>
      </w:r>
      <w:r w:rsidRPr="0006166F">
        <w:rPr>
          <w:snapToGrid w:val="0"/>
        </w:rPr>
        <w:tab/>
        <w:t>“Section 48-39-280.</w:t>
      </w:r>
      <w:r w:rsidRPr="0006166F">
        <w:rPr>
          <w:snapToGrid w:val="0"/>
        </w:rPr>
        <w:tab/>
        <w:t>(A)</w:t>
      </w:r>
      <w:r w:rsidRPr="0006166F">
        <w:rPr>
          <w:snapToGrid w:val="0"/>
        </w:rPr>
        <w:tab/>
        <w:t xml:space="preserve">A </w:t>
      </w:r>
      <w:r w:rsidRPr="0006166F">
        <w:rPr>
          <w:strike/>
          <w:snapToGrid w:val="0"/>
        </w:rPr>
        <w:t>forty year</w:t>
      </w:r>
      <w:r w:rsidRPr="0006166F">
        <w:rPr>
          <w:snapToGrid w:val="0"/>
        </w:rPr>
        <w:t xml:space="preserve"> policy of </w:t>
      </w:r>
      <w:r w:rsidRPr="0006166F">
        <w:rPr>
          <w:strike/>
          <w:snapToGrid w:val="0"/>
        </w:rPr>
        <w:t>retreat from the shoreline</w:t>
      </w:r>
      <w:r w:rsidRPr="0006166F">
        <w:rPr>
          <w:snapToGrid w:val="0"/>
        </w:rPr>
        <w:t xml:space="preserve"> </w:t>
      </w:r>
      <w:r w:rsidRPr="0006166F">
        <w:rPr>
          <w:snapToGrid w:val="0"/>
          <w:u w:val="single"/>
        </w:rPr>
        <w:t>beach preservation</w:t>
      </w:r>
      <w:r w:rsidRPr="0006166F">
        <w:rPr>
          <w:snapToGrid w:val="0"/>
        </w:rPr>
        <w:t xml:space="preserve"> is established. The department must implement this policy</w:t>
      </w:r>
      <w:r w:rsidRPr="0006166F">
        <w:rPr>
          <w:snapToGrid w:val="0"/>
        </w:rPr>
        <w:tab/>
      </w:r>
      <w:r w:rsidRPr="0006166F">
        <w:rPr>
          <w:snapToGrid w:val="0"/>
        </w:rPr>
        <w:tab/>
      </w:r>
      <w:r w:rsidRPr="0006166F">
        <w:rPr>
          <w:snapToGrid w:val="0"/>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Amend the bill further, as and if amended, page 5, by striking line 14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6166F">
        <w:rPr>
          <w:snapToGrid w:val="0"/>
        </w:rPr>
        <w:t xml:space="preserve">/implementation of the </w:t>
      </w:r>
      <w:r w:rsidRPr="0006166F">
        <w:rPr>
          <w:strike/>
          <w:snapToGrid w:val="0"/>
        </w:rPr>
        <w:t>retreat</w:t>
      </w:r>
      <w:r w:rsidRPr="0006166F">
        <w:rPr>
          <w:snapToGrid w:val="0"/>
        </w:rPr>
        <w:t xml:space="preserve"> </w:t>
      </w:r>
      <w:r w:rsidRPr="0006166F">
        <w:rPr>
          <w:snapToGrid w:val="0"/>
          <w:u w:val="single"/>
        </w:rPr>
        <w:t>beach preservation</w:t>
      </w:r>
      <w:r w:rsidRPr="0006166F">
        <w:rPr>
          <w:snapToGrid w:val="0"/>
        </w:rPr>
        <w:t xml:space="preserve"> policy, the department, as part of the</w:t>
      </w:r>
      <w:r w:rsidRPr="0006166F">
        <w:rPr>
          <w:snapToGrid w:val="0"/>
        </w:rPr>
        <w:tab/>
      </w:r>
      <w:r w:rsidRPr="0006166F">
        <w:rPr>
          <w:snapToGrid w:val="0"/>
        </w:rPr>
        <w:tab/>
      </w:r>
      <w:r w:rsidRPr="0006166F">
        <w:rPr>
          <w:snapToGrid w:val="0"/>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66F">
        <w:t>Amend the bill further, as and if amended, page 5, by striking line 27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166F">
        <w:lastRenderedPageBreak/>
        <w:tab/>
        <w:t>/</w:t>
      </w:r>
      <w:r w:rsidRPr="0006166F">
        <w:tab/>
      </w:r>
      <w:r w:rsidRPr="0006166F">
        <w:tab/>
      </w:r>
      <w:r w:rsidRPr="0006166F">
        <w:rPr>
          <w:u w:val="single"/>
        </w:rPr>
        <w:t>(4)</w:t>
      </w:r>
      <w:r w:rsidRPr="0006166F">
        <w:tab/>
      </w:r>
      <w:r w:rsidRPr="0006166F">
        <w:rPr>
          <w:u w:val="single"/>
        </w:rPr>
        <w:t>A baseline established pursuant to this section must not move seaward from the most seaward location of the following: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tab/>
      </w:r>
      <w:r w:rsidRPr="0006166F">
        <w:tab/>
      </w:r>
      <w:r w:rsidRPr="0006166F">
        <w:tab/>
      </w:r>
      <w:r w:rsidRPr="0006166F">
        <w:rPr>
          <w:u w:val="single"/>
        </w:rPr>
        <w:t>(a)</w:t>
      </w:r>
      <w:r w:rsidRPr="0006166F">
        <w:tab/>
      </w:r>
      <w:r w:rsidRPr="0006166F">
        <w:rPr>
          <w:u w:val="single"/>
        </w:rPr>
        <w:t>the location of the baseline as established during the 2008 through 2012 establishment cycle;</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tab/>
      </w:r>
      <w:r w:rsidRPr="0006166F">
        <w:tab/>
      </w:r>
      <w:r w:rsidRPr="0006166F">
        <w:tab/>
      </w:r>
      <w:r w:rsidRPr="0006166F">
        <w:rPr>
          <w:u w:val="single"/>
        </w:rPr>
        <w:t>(b)</w:t>
      </w:r>
      <w:r w:rsidRPr="0006166F">
        <w:tab/>
      </w:r>
      <w:r w:rsidRPr="0006166F">
        <w:rPr>
          <w:u w:val="single"/>
        </w:rPr>
        <w:t>the location of the baseline as proposed by the department on October 6, 2017; and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tab/>
      </w:r>
      <w:r w:rsidRPr="0006166F">
        <w:tab/>
      </w:r>
      <w:r w:rsidRPr="0006166F">
        <w:tab/>
      </w:r>
      <w:r w:rsidRPr="0006166F">
        <w:rPr>
          <w:u w:val="single"/>
        </w:rPr>
        <w:t>(c)</w:t>
      </w:r>
      <w:r w:rsidRPr="0006166F">
        <w:tab/>
      </w:r>
      <w:r w:rsidRPr="0006166F">
        <w:rPr>
          <w:u w:val="single"/>
        </w:rPr>
        <w:t>the location of the baseline as revised pursuant to a review or an appeal of the proposed October 6, 2017</w:t>
      </w:r>
      <w:r w:rsidR="00395C49">
        <w:rPr>
          <w:u w:val="single"/>
        </w:rPr>
        <w:t>,</w:t>
      </w:r>
      <w:r w:rsidRPr="0006166F">
        <w:rPr>
          <w:u w:val="single"/>
        </w:rPr>
        <w:t xml:space="preserve"> baseline initiated before January 1, 2018.</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tab/>
        <w:t>(B)</w:t>
      </w:r>
      <w:r w:rsidRPr="0006166F">
        <w:tab/>
        <w:t>To implement the</w:t>
      </w:r>
      <w:r w:rsidRPr="0006166F">
        <w:rPr>
          <w:strike/>
        </w:rPr>
        <w:t xml:space="preserve"> retreat</w:t>
      </w:r>
      <w:r w:rsidRPr="0006166F">
        <w:t xml:space="preserve"> </w:t>
      </w:r>
      <w:r w:rsidRPr="0006166F">
        <w:rPr>
          <w:u w:val="single"/>
        </w:rPr>
        <w:t>beach preservation</w:t>
      </w:r>
      <w:r w:rsidRPr="0006166F">
        <w:t xml:space="preserve"> policy provided for in subsection </w:t>
      </w:r>
      <w:r w:rsidRPr="0006166F">
        <w:tab/>
      </w:r>
      <w:r w:rsidRPr="0006166F">
        <w:tab/>
      </w:r>
      <w:r w:rsidRPr="0006166F">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6166F">
        <w:rPr>
          <w:snapToGrid w:val="0"/>
        </w:rPr>
        <w:t xml:space="preserve">Amend the bill further, as and if amended, page 5, line 34, by striking Section </w:t>
      </w:r>
      <w:r w:rsidRPr="0006166F">
        <w:rPr>
          <w:u w:color="000000" w:themeColor="text1"/>
        </w:rPr>
        <w:t>48</w:t>
      </w:r>
      <w:r w:rsidRPr="0006166F">
        <w:rPr>
          <w:u w:color="000000" w:themeColor="text1"/>
        </w:rPr>
        <w:noBreakHyphen/>
        <w:t>39</w:t>
      </w:r>
      <w:r w:rsidRPr="0006166F">
        <w:rPr>
          <w:u w:color="000000" w:themeColor="text1"/>
        </w:rPr>
        <w:noBreakHyphen/>
        <w:t>280(C) in its entirety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w:t>
      </w:r>
      <w:r w:rsidRPr="0006166F">
        <w:rPr>
          <w:u w:color="000000" w:themeColor="text1"/>
        </w:rPr>
        <w:tab/>
      </w:r>
      <w:r w:rsidRPr="0006166F">
        <w:rPr>
          <w:u w:color="000000" w:themeColor="text1"/>
        </w:rPr>
        <w:tab/>
        <w:t>(C)</w:t>
      </w:r>
      <w:r w:rsidRPr="0006166F">
        <w:rPr>
          <w:u w:color="000000" w:themeColor="text1"/>
        </w:rPr>
        <w:tab/>
        <w:t>The department</w:t>
      </w:r>
      <w:r w:rsidRPr="0006166F">
        <w:rPr>
          <w:strike/>
          <w:u w:color="000000" w:themeColor="text1"/>
        </w:rPr>
        <w:t>, before July 3, 1991,</w:t>
      </w:r>
      <w:r w:rsidRPr="0006166F">
        <w:rPr>
          <w:u w:color="000000" w:themeColor="text1"/>
        </w:rPr>
        <w:t xml:space="preserve"> must establish </w:t>
      </w:r>
      <w:r w:rsidRPr="0006166F">
        <w:rPr>
          <w:strike/>
          <w:u w:color="000000" w:themeColor="text1"/>
        </w:rPr>
        <w:t>a final baseline</w:t>
      </w:r>
      <w:r w:rsidRPr="0006166F">
        <w:rPr>
          <w:u w:color="000000" w:themeColor="text1"/>
        </w:rPr>
        <w:t xml:space="preserve"> </w:t>
      </w:r>
      <w:r w:rsidRPr="0006166F">
        <w:rPr>
          <w:u w:val="single"/>
        </w:rPr>
        <w:t>baselines</w:t>
      </w:r>
      <w:r w:rsidRPr="0006166F">
        <w:t xml:space="preserve"> </w:t>
      </w:r>
      <w:r w:rsidRPr="0006166F">
        <w:rPr>
          <w:u w:color="000000" w:themeColor="text1"/>
        </w:rPr>
        <w:t xml:space="preserve">and setback </w:t>
      </w:r>
      <w:r w:rsidRPr="0006166F">
        <w:rPr>
          <w:strike/>
          <w:u w:color="000000" w:themeColor="text1"/>
        </w:rPr>
        <w:t>line</w:t>
      </w:r>
      <w:r w:rsidRPr="0006166F">
        <w:rPr>
          <w:u w:color="000000" w:themeColor="text1"/>
        </w:rPr>
        <w:t xml:space="preserve"> </w:t>
      </w:r>
      <w:r w:rsidRPr="0006166F">
        <w:rPr>
          <w:u w:val="single"/>
        </w:rPr>
        <w:t>lines</w:t>
      </w:r>
      <w:r w:rsidRPr="0006166F">
        <w:t xml:space="preserve"> </w:t>
      </w:r>
      <w:r w:rsidRPr="0006166F">
        <w:rPr>
          <w:u w:color="000000" w:themeColor="text1"/>
        </w:rPr>
        <w:t xml:space="preserve">for </w:t>
      </w:r>
      <w:r w:rsidRPr="0006166F">
        <w:rPr>
          <w:u w:val="single"/>
        </w:rPr>
        <w:t>all geographic areas where baselines and setback lines were established on or before January 31, 2012</w:t>
      </w:r>
      <w:r w:rsidRPr="0006166F">
        <w:t xml:space="preserve"> </w:t>
      </w:r>
      <w:r w:rsidRPr="0006166F">
        <w:rPr>
          <w:strike/>
          <w:u w:color="000000" w:themeColor="text1"/>
        </w:rPr>
        <w:t>each erosion zone based on the best available scientific and historical data as provided in subsection (B) and with consideration of public input</w:t>
      </w:r>
      <w:r w:rsidRPr="0006166F">
        <w:rPr>
          <w:u w:color="000000" w:themeColor="text1"/>
        </w:rPr>
        <w:t xml:space="preserve">. </w:t>
      </w:r>
      <w:r w:rsidRPr="0006166F">
        <w:rPr>
          <w:strike/>
          <w:u w:color="000000" w:themeColor="text1"/>
        </w:rPr>
        <w:t>The baseline and setback line must not be revised before July 1, 1998, nor later than July 1, 2000. After that revision, the</w:t>
      </w:r>
      <w:r w:rsidRPr="0006166F">
        <w:rPr>
          <w:u w:color="000000" w:themeColor="text1"/>
        </w:rPr>
        <w:t xml:space="preserve"> </w:t>
      </w:r>
      <w:r w:rsidRPr="0006166F">
        <w:rPr>
          <w:u w:val="single" w:color="000000" w:themeColor="text1"/>
        </w:rPr>
        <w:t>The</w:t>
      </w:r>
      <w:r w:rsidRPr="0006166F">
        <w:rPr>
          <w:u w:color="000000" w:themeColor="text1"/>
        </w:rPr>
        <w:t xml:space="preserve"> </w:t>
      </w:r>
      <w:r w:rsidRPr="0006166F">
        <w:rPr>
          <w:strike/>
          <w:u w:color="000000" w:themeColor="text1"/>
        </w:rPr>
        <w:t>baseline</w:t>
      </w:r>
      <w:r w:rsidRPr="0006166F">
        <w:rPr>
          <w:u w:color="000000" w:themeColor="text1"/>
        </w:rPr>
        <w:t xml:space="preserve"> </w:t>
      </w:r>
      <w:r w:rsidRPr="0006166F">
        <w:rPr>
          <w:u w:val="single"/>
        </w:rPr>
        <w:t>baselines</w:t>
      </w:r>
      <w:r w:rsidRPr="0006166F">
        <w:t xml:space="preserve"> </w:t>
      </w:r>
      <w:r w:rsidRPr="0006166F">
        <w:rPr>
          <w:u w:color="000000" w:themeColor="text1"/>
        </w:rPr>
        <w:t xml:space="preserve">and setback </w:t>
      </w:r>
      <w:r w:rsidRPr="0006166F">
        <w:rPr>
          <w:strike/>
          <w:u w:color="000000" w:themeColor="text1"/>
        </w:rPr>
        <w:t>line</w:t>
      </w:r>
      <w:r w:rsidRPr="0006166F">
        <w:rPr>
          <w:u w:color="000000" w:themeColor="text1"/>
        </w:rPr>
        <w:t xml:space="preserve"> </w:t>
      </w:r>
      <w:r w:rsidRPr="0006166F">
        <w:rPr>
          <w:u w:val="single" w:color="000000" w:themeColor="text1"/>
        </w:rPr>
        <w:t>lines</w:t>
      </w:r>
      <w:r w:rsidRPr="0006166F">
        <w:rPr>
          <w:u w:color="000000" w:themeColor="text1"/>
        </w:rPr>
        <w:t xml:space="preserve"> must be </w:t>
      </w:r>
      <w:r w:rsidRPr="0006166F">
        <w:rPr>
          <w:strike/>
          <w:u w:color="000000" w:themeColor="text1"/>
        </w:rPr>
        <w:t>revised</w:t>
      </w:r>
      <w:r w:rsidRPr="0006166F">
        <w:rPr>
          <w:u w:color="000000" w:themeColor="text1"/>
        </w:rPr>
        <w:t xml:space="preserve"> </w:t>
      </w:r>
      <w:r w:rsidRPr="0006166F">
        <w:rPr>
          <w:u w:val="single" w:color="000000" w:themeColor="text1"/>
        </w:rPr>
        <w:t>established anew during establishment cycles that are</w:t>
      </w:r>
      <w:r w:rsidRPr="0006166F">
        <w:rPr>
          <w:u w:color="000000" w:themeColor="text1"/>
        </w:rPr>
        <w:t xml:space="preserve"> not less than every seven years, but not more than every ten years </w:t>
      </w:r>
      <w:r w:rsidRPr="0006166F">
        <w:rPr>
          <w:strike/>
          <w:u w:color="000000" w:themeColor="text1"/>
        </w:rPr>
        <w:t>after each preceding revision</w:t>
      </w:r>
      <w:r w:rsidRPr="0006166F">
        <w:rPr>
          <w:u w:color="000000" w:themeColor="text1"/>
        </w:rPr>
        <w:t xml:space="preserve"> </w:t>
      </w:r>
      <w:r w:rsidRPr="0006166F">
        <w:rPr>
          <w:u w:val="single" w:color="000000" w:themeColor="text1"/>
        </w:rPr>
        <w:t>following the establishment cycle and must be based upon the best available data</w:t>
      </w:r>
      <w:r w:rsidRPr="0006166F">
        <w:rPr>
          <w:u w:color="000000" w:themeColor="text1"/>
        </w:rPr>
        <w:t xml:space="preserve">. </w:t>
      </w:r>
      <w:r w:rsidRPr="0006166F">
        <w:rPr>
          <w:strike/>
          <w:u w:color="000000" w:themeColor="text1"/>
        </w:rPr>
        <w:t>The department shall establish the baseline and setback line for all locations where the baseline and setback line were established on or before January 31, 2012. Nothing in this section allows the seaward movement of the baseline after December 31, 2017.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06166F">
        <w:rPr>
          <w:u w:color="000000" w:themeColor="text1"/>
        </w:rPr>
        <w:t xml:space="preserve"> Until the department establishes new baselines and setback lines </w:t>
      </w:r>
      <w:r w:rsidRPr="0006166F">
        <w:rPr>
          <w:u w:val="single" w:color="000000" w:themeColor="text1"/>
        </w:rPr>
        <w:t>for a geographic area</w:t>
      </w:r>
      <w:r w:rsidRPr="0006166F">
        <w:rPr>
          <w:u w:color="000000" w:themeColor="text1"/>
        </w:rPr>
        <w:t xml:space="preserve">, the existing baselines and setback lines </w:t>
      </w:r>
      <w:r w:rsidRPr="0006166F">
        <w:rPr>
          <w:u w:val="single" w:color="000000" w:themeColor="text1"/>
        </w:rPr>
        <w:t>for the geographic area</w:t>
      </w:r>
      <w:r w:rsidRPr="0006166F">
        <w:rPr>
          <w:u w:color="000000" w:themeColor="text1"/>
        </w:rPr>
        <w:t xml:space="preserve"> must be used. </w:t>
      </w:r>
      <w:r w:rsidRPr="0006166F">
        <w:rPr>
          <w:strike/>
          <w:u w:color="000000" w:themeColor="text1"/>
        </w:rPr>
        <w:t>The department may stagger the revision of the baselines and setback lines of the erosion zones so long as every zone is revised in accordance with the time guidelines established in this section.</w:t>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Amend the bill further, as and if amended, page 6, by striking lines 38 through 40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snapToGrid w:val="0"/>
        </w:rPr>
        <w:lastRenderedPageBreak/>
        <w:tab/>
        <w:t>/</w:t>
      </w:r>
      <w:r w:rsidRPr="0006166F">
        <w:rPr>
          <w:snapToGrid w:val="0"/>
        </w:rPr>
        <w:tab/>
      </w:r>
      <w:r w:rsidRPr="0006166F">
        <w:rPr>
          <w:snapToGrid w:val="0"/>
        </w:rPr>
        <w:tab/>
      </w:r>
      <w:r w:rsidRPr="0006166F">
        <w:rPr>
          <w:u w:val="single" w:color="000000" w:themeColor="text1"/>
        </w:rPr>
        <w:t>(ii)</w:t>
      </w:r>
      <w:r w:rsidRPr="0006166F">
        <w:rPr>
          <w:u w:color="000000" w:themeColor="text1"/>
        </w:rPr>
        <w:tab/>
      </w:r>
      <w:r w:rsidRPr="0006166F">
        <w:rPr>
          <w:u w:val="single" w:color="000000" w:themeColor="text1"/>
        </w:rPr>
        <w:t>make readily available to the public, including on the department’s website, the information and raw data that the department used to determine the locations of the proposed baselines and setback lines and explanations for these determinations;</w:t>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166F">
        <w:rPr>
          <w:u w:color="000000" w:themeColor="text1"/>
        </w:rPr>
        <w:t>Amend the bill further, as and if amended, page 7, by striking lines 33 through 42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w:t>
      </w:r>
      <w:r w:rsidRPr="0006166F">
        <w:rPr>
          <w:u w:color="000000" w:themeColor="text1"/>
        </w:rPr>
        <w:tab/>
      </w:r>
      <w:r w:rsidRPr="0006166F">
        <w:rPr>
          <w:u w:color="000000" w:themeColor="text1"/>
        </w:rPr>
        <w:tab/>
      </w:r>
      <w:r w:rsidRPr="0006166F">
        <w:rPr>
          <w:u w:val="single" w:color="000000" w:themeColor="text1"/>
        </w:rPr>
        <w:t>(4)</w:t>
      </w:r>
      <w:r w:rsidRPr="0006166F">
        <w:rPr>
          <w:u w:color="000000" w:themeColor="text1"/>
        </w:rPr>
        <w:tab/>
      </w:r>
      <w:r w:rsidRPr="0006166F">
        <w:rPr>
          <w:u w:val="single"/>
        </w:rPr>
        <w:t>If an erosion zone incurs extraordinary erosion due to the impact of a storm system or event named by the National Weather Service after June 1, 2018, then data collected from the erosion zone within eighteen months of the date of impact of the storm system or event must not be used to locate the crests of primary oceanfront sand dunes or to establish baselines pursuant to subsections (A)(1) and (A)(3).</w:t>
      </w:r>
      <w:r w:rsidRPr="0006166F">
        <w:rPr>
          <w:u w:color="000000" w:themeColor="text1"/>
        </w:rPr>
        <w:tab/>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166F">
        <w:rPr>
          <w:u w:color="000000" w:themeColor="text1"/>
        </w:rPr>
        <w:t>Amend the bill further, as and if amended, page 9, by striking line 19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w:t>
      </w:r>
      <w:r w:rsidRPr="0006166F">
        <w:rPr>
          <w:u w:color="000000" w:themeColor="text1"/>
        </w:rPr>
        <w:tab/>
      </w:r>
      <w:r w:rsidRPr="0006166F">
        <w:rPr>
          <w:u w:color="000000" w:themeColor="text1"/>
        </w:rPr>
        <w:tab/>
      </w:r>
      <w:r w:rsidRPr="0006166F">
        <w:rPr>
          <w:u w:val="single" w:color="000000" w:themeColor="text1"/>
        </w:rPr>
        <w:t>(5)</w:t>
      </w:r>
      <w:r w:rsidRPr="0006166F">
        <w:rPr>
          <w:u w:color="000000" w:themeColor="text1"/>
        </w:rPr>
        <w:tab/>
      </w:r>
      <w:r w:rsidRPr="0006166F">
        <w:rPr>
          <w:u w:val="single" w:color="000000" w:themeColor="text1"/>
        </w:rPr>
        <w:t xml:space="preserve">The landowner or the county, municipality, or organization </w:t>
      </w:r>
      <w:r w:rsidRPr="0006166F">
        <w:rPr>
          <w:u w:color="000000" w:themeColor="text1"/>
        </w:rPr>
        <w:tab/>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166F">
        <w:rPr>
          <w:u w:color="000000" w:themeColor="text1"/>
        </w:rPr>
        <w:t>Amend the bill further, as and if amended, page 9, line 32, by striking SECTION 5 in its entirety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w:t>
      </w:r>
      <w:r w:rsidRPr="0006166F">
        <w:rPr>
          <w:u w:color="000000" w:themeColor="text1"/>
        </w:rPr>
        <w:tab/>
      </w:r>
      <w:r w:rsidRPr="0006166F">
        <w:rPr>
          <w:u w:color="000000" w:themeColor="text1"/>
        </w:rPr>
        <w:tab/>
        <w:t>SECTION</w:t>
      </w:r>
      <w:r w:rsidRPr="0006166F">
        <w:rPr>
          <w:u w:color="000000" w:themeColor="text1"/>
        </w:rPr>
        <w:tab/>
        <w:t>5.</w:t>
      </w:r>
      <w:r w:rsidRPr="00C15126">
        <w:rPr>
          <w:u w:color="000000" w:themeColor="text1"/>
        </w:rPr>
        <w:tab/>
        <w:t>A.</w:t>
      </w:r>
      <w:r w:rsidRPr="00C15126">
        <w:rPr>
          <w:u w:color="000000" w:themeColor="text1"/>
        </w:rPr>
        <w:tab/>
        <w:t>C</w:t>
      </w:r>
      <w:r w:rsidRPr="0006166F">
        <w:rPr>
          <w:u w:color="000000" w:themeColor="text1"/>
        </w:rPr>
        <w:t>hapter 39, Title 48 of the 1976 Code is amended by adding: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“Section 48</w:t>
      </w:r>
      <w:r w:rsidRPr="0006166F">
        <w:rPr>
          <w:u w:color="000000" w:themeColor="text1"/>
        </w:rPr>
        <w:noBreakHyphen/>
        <w:t>39</w:t>
      </w:r>
      <w:r w:rsidRPr="0006166F">
        <w:rPr>
          <w:u w:color="000000" w:themeColor="text1"/>
        </w:rPr>
        <w:noBreakHyphen/>
        <w:t>285.</w:t>
      </w:r>
      <w:r w:rsidRPr="0006166F">
        <w:rPr>
          <w:u w:color="000000" w:themeColor="text1"/>
        </w:rPr>
        <w:tab/>
        <w:t>(A)</w:t>
      </w:r>
      <w:r w:rsidRPr="0006166F">
        <w:rPr>
          <w:u w:color="000000" w:themeColor="text1"/>
        </w:rPr>
        <w:tab/>
        <w:t>Notwithstanding the provisions of Section 48</w:t>
      </w:r>
      <w:r w:rsidRPr="0006166F">
        <w:rPr>
          <w:u w:color="000000" w:themeColor="text1"/>
        </w:rPr>
        <w:noBreakHyphen/>
        <w:t>39</w:t>
      </w:r>
      <w:r w:rsidRPr="0006166F">
        <w:rPr>
          <w:u w:color="000000" w:themeColor="text1"/>
        </w:rPr>
        <w:noBreakHyphen/>
        <w:t>280, the department must initiate a new baseline cycle by no sooner than January 1, 2024. Until the department establishes a new baseline and setback line affecting a landowner as part of that establishment cycle, the baseline and setback line in effect for the landowner are the most seaward of the following, respectively:</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r>
      <w:r w:rsidRPr="0006166F">
        <w:rPr>
          <w:u w:color="000000" w:themeColor="text1"/>
        </w:rPr>
        <w:tab/>
        <w:t>(1)(a)</w:t>
      </w:r>
      <w:r w:rsidRPr="0006166F">
        <w:rPr>
          <w:u w:color="000000" w:themeColor="text1"/>
        </w:rPr>
        <w:tab/>
        <w:t>the baseline established during the 2008 through 2012 establishment cycle; or</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r>
      <w:r w:rsidRPr="0006166F">
        <w:rPr>
          <w:u w:color="000000" w:themeColor="text1"/>
        </w:rPr>
        <w:tab/>
      </w:r>
      <w:r w:rsidRPr="0006166F">
        <w:rPr>
          <w:u w:color="000000" w:themeColor="text1"/>
        </w:rPr>
        <w:tab/>
        <w:t>(b)</w:t>
      </w:r>
      <w:r w:rsidRPr="0006166F">
        <w:rPr>
          <w:u w:color="000000" w:themeColor="text1"/>
        </w:rPr>
        <w:tab/>
        <w:t>the baseline proposed by the department on October 6, 2017; and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r>
      <w:r w:rsidRPr="0006166F">
        <w:rPr>
          <w:u w:color="000000" w:themeColor="text1"/>
        </w:rPr>
        <w:tab/>
        <w:t>(2)(a)</w:t>
      </w:r>
      <w:r w:rsidRPr="0006166F">
        <w:rPr>
          <w:u w:color="000000" w:themeColor="text1"/>
        </w:rPr>
        <w:tab/>
        <w:t>the setback line established during the 2008 through 2012 establishment cycle; or</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r>
      <w:r w:rsidRPr="0006166F">
        <w:rPr>
          <w:u w:color="000000" w:themeColor="text1"/>
        </w:rPr>
        <w:tab/>
      </w:r>
      <w:r w:rsidRPr="0006166F">
        <w:rPr>
          <w:u w:color="000000" w:themeColor="text1"/>
        </w:rPr>
        <w:tab/>
        <w:t>(b)</w:t>
      </w:r>
      <w:r w:rsidR="00395C49">
        <w:rPr>
          <w:u w:color="000000" w:themeColor="text1"/>
        </w:rPr>
        <w:tab/>
      </w:r>
      <w:r w:rsidRPr="0006166F">
        <w:rPr>
          <w:u w:color="000000" w:themeColor="text1"/>
        </w:rPr>
        <w:t>the setback line proposed by the department on October 6, 2017.</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(B)</w:t>
      </w:r>
      <w:r w:rsidRPr="0006166F">
        <w:rPr>
          <w:u w:color="000000" w:themeColor="text1"/>
        </w:rPr>
        <w:tab/>
        <w:t>Notwithstanding the provisions of subsection (A) and Section 48</w:t>
      </w:r>
      <w:r w:rsidRPr="0006166F">
        <w:rPr>
          <w:u w:color="000000" w:themeColor="text1"/>
        </w:rPr>
        <w:noBreakHyphen/>
        <w:t>39</w:t>
      </w:r>
      <w:r w:rsidRPr="0006166F">
        <w:rPr>
          <w:u w:color="000000" w:themeColor="text1"/>
        </w:rPr>
        <w:noBreakHyphen/>
        <w:t>280, if a proposed baseline under review or appeal prior to January 1, 2018</w:t>
      </w:r>
      <w:r w:rsidR="00395C49">
        <w:rPr>
          <w:u w:color="000000" w:themeColor="text1"/>
        </w:rPr>
        <w:t>,</w:t>
      </w:r>
      <w:r w:rsidRPr="0006166F">
        <w:rPr>
          <w:u w:color="000000" w:themeColor="text1"/>
        </w:rPr>
        <w:t xml:space="preserve"> is revised by a consent order or court order, or otherwise by the department, to a location seaward of both the baseline established during the 2008 through 2012 establishment cycle and the baseline proposed on October 6, 2017, then both the </w:t>
      </w:r>
      <w:r w:rsidRPr="0006166F">
        <w:rPr>
          <w:u w:color="000000" w:themeColor="text1"/>
        </w:rPr>
        <w:lastRenderedPageBreak/>
        <w:t>revised proposed baseline as well as the revised proposed setback line will be in effect for the landowner until the department establishes a new baseline and setback line.”</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5126">
        <w:rPr>
          <w:u w:color="000000" w:themeColor="text1"/>
        </w:rPr>
        <w:tab/>
        <w:t>B.</w:t>
      </w:r>
      <w:r w:rsidRPr="00C15126">
        <w:rPr>
          <w:u w:color="000000" w:themeColor="text1"/>
        </w:rPr>
        <w:tab/>
        <w:t>The provisions contained in this SECTION are repealed upon completion of the establishment cycle initiated on or after January 1, 2024.</w:t>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Amend the bill further, as and if amended, by adding appropriately numbered new SECTIONS to read: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/SECTION</w:t>
      </w:r>
      <w:r w:rsidRPr="0006166F">
        <w:rPr>
          <w:snapToGrid w:val="0"/>
        </w:rPr>
        <w:tab/>
        <w:t>__.</w:t>
      </w:r>
      <w:r w:rsidRPr="0006166F">
        <w:rPr>
          <w:snapToGrid w:val="0"/>
        </w:rPr>
        <w:tab/>
        <w:t>Section 48-39-250(6) of the 1976 Code is amended to read: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“(6)</w:t>
      </w:r>
      <w:r w:rsidRPr="0006166F">
        <w:rPr>
          <w:snapToGrid w:val="0"/>
        </w:rPr>
        <w:tab/>
        <w:t xml:space="preserve">Erosion is a natural process which becomes a significant problem for man only when structures are erected in close proximity to the beach/dune system. It is in both the public and private interests to afford the beach/dune system space to accrete and erode in its natural cycle. This space can be provided only by discouraging new construction in close proximity to the beach/dune system </w:t>
      </w:r>
      <w:r w:rsidRPr="0006166F">
        <w:rPr>
          <w:strike/>
          <w:snapToGrid w:val="0"/>
        </w:rPr>
        <w:t>and encouraging those who have erected structures too close to the system to retreat from it</w:t>
      </w:r>
      <w:r w:rsidRPr="0006166F">
        <w:rPr>
          <w:snapToGrid w:val="0"/>
        </w:rPr>
        <w:t>.”</w:t>
      </w:r>
      <w:r w:rsidRPr="0006166F">
        <w:rPr>
          <w:snapToGrid w:val="0"/>
        </w:rPr>
        <w:tab/>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SECTION</w:t>
      </w:r>
      <w:r w:rsidRPr="0006166F">
        <w:rPr>
          <w:snapToGrid w:val="0"/>
        </w:rPr>
        <w:tab/>
        <w:t>__.</w:t>
      </w:r>
      <w:r w:rsidRPr="0006166F">
        <w:rPr>
          <w:snapToGrid w:val="0"/>
        </w:rPr>
        <w:tab/>
        <w:t>Section 48-39-260(2) of the 1976 Code is amended to read: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“(2)</w:t>
      </w:r>
      <w:r w:rsidRPr="0006166F">
        <w:rPr>
          <w:snapToGrid w:val="0"/>
        </w:rPr>
        <w:tab/>
        <w:t xml:space="preserve">create a comprehensive, long-range beach management plan and require local comprehensive beach management plans for the protection, preservation, restoration, and enhancement of the beach/dune system. These plans must promote wise use of the state's beachfront </w:t>
      </w:r>
      <w:r w:rsidRPr="0006166F">
        <w:rPr>
          <w:strike/>
          <w:snapToGrid w:val="0"/>
        </w:rPr>
        <w:t>to include a gradual retreat from the system over a forty-year period</w:t>
      </w:r>
      <w:r w:rsidRPr="0006166F">
        <w:rPr>
          <w:snapToGrid w:val="0"/>
        </w:rPr>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SECTION</w:t>
      </w:r>
      <w:r w:rsidRPr="0006166F">
        <w:rPr>
          <w:snapToGrid w:val="0"/>
        </w:rPr>
        <w:tab/>
        <w:t>__.</w:t>
      </w:r>
      <w:r w:rsidRPr="0006166F">
        <w:rPr>
          <w:snapToGrid w:val="0"/>
        </w:rPr>
        <w:tab/>
        <w:t>Section 48-39-350(A)(9) of the 1976 Code is amended to read: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“(9)</w:t>
      </w:r>
      <w:r w:rsidRPr="0006166F">
        <w:rPr>
          <w:snapToGrid w:val="0"/>
        </w:rPr>
        <w:tab/>
        <w:t xml:space="preserve">a detailed strategy for achieving the goals of this chapter </w:t>
      </w:r>
      <w:r w:rsidRPr="0006166F">
        <w:rPr>
          <w:strike/>
          <w:snapToGrid w:val="0"/>
        </w:rPr>
        <w:t>by the end of the forty-year retreat period. Consideration must be given to relocating buildings, removal of erosion control structures, and relocation of utilities</w:t>
      </w:r>
      <w:r w:rsidRPr="0006166F">
        <w:rPr>
          <w:snapToGrid w:val="0"/>
        </w:rPr>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66F">
        <w:t>SECTION</w:t>
      </w:r>
      <w:r w:rsidRPr="0006166F">
        <w:tab/>
        <w:t>__.</w:t>
      </w:r>
      <w:r w:rsidRPr="0006166F">
        <w:tab/>
        <w:t>The Department of Health and Environmental Control must promulgate regulations to implement the provisions of this act, including regulations that the department will use to locate a primary oceanfront sand dune as defined by Section 48-39-10, by January 8, 2019.</w:t>
      </w:r>
      <w:r w:rsidRPr="0006166F">
        <w:tab/>
      </w:r>
      <w:r w:rsidRPr="0006166F">
        <w:tab/>
      </w:r>
      <w:r w:rsidRPr="0006166F">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Renumber sections to conform.</w:t>
      </w:r>
    </w:p>
    <w:p w:rsid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Amend title to conform.</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5126" w:rsidSect="00901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76371C">
        <w:rPr>
          <w:color w:val="000000" w:themeColor="text1"/>
          <w:u w:color="000000" w:themeColor="text1"/>
        </w:rPr>
        <w:t>S FORTY</w:t>
      </w:r>
      <w:r w:rsidR="0076371C">
        <w:rPr>
          <w:color w:val="000000" w:themeColor="text1"/>
          <w:u w:color="000000" w:themeColor="text1"/>
        </w:rPr>
        <w:noBreakHyphen/>
      </w:r>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w:t>
      </w:r>
      <w:r w:rsidR="008D3B0F">
        <w:rPr>
          <w:color w:val="000000" w:themeColor="text1"/>
          <w:u w:color="000000" w:themeColor="text1"/>
        </w:rPr>
        <w:t>submerged lands seaward to the s</w:t>
      </w:r>
      <w:r w:rsidRPr="00B00684">
        <w:rPr>
          <w:color w:val="000000" w:themeColor="text1"/>
          <w:u w:color="000000" w:themeColor="text1"/>
        </w:rPr>
        <w:t>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w:t>
      </w:r>
      <w:r w:rsidR="008D3B0F">
        <w:rPr>
          <w:color w:val="000000" w:themeColor="text1"/>
          <w:u w:color="000000" w:themeColor="text1"/>
        </w:rPr>
        <w:t>,</w:t>
      </w:r>
      <w:r w:rsidRPr="00B00684">
        <w:rPr>
          <w:color w:val="000000" w:themeColor="text1"/>
          <w:u w:color="000000" w:themeColor="text1"/>
        </w:rPr>
        <w:t xml:space="preserve">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CDPS</w:t>
      </w:r>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w:t>
      </w:r>
      <w:r w:rsidRPr="00B00684">
        <w:rPr>
          <w:color w:val="000000" w:themeColor="text1"/>
          <w:u w:color="000000" w:themeColor="text1"/>
        </w:rPr>
        <w:lastRenderedPageBreak/>
        <w:t>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nonlittoral vegetation is established.</w:t>
      </w:r>
    </w:p>
    <w:p w:rsidR="00A15F1A" w:rsidRPr="00B00684" w:rsidRDefault="006836A2"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19B5">
        <w:rPr>
          <w:u w:color="000000" w:themeColor="text1"/>
        </w:rPr>
        <w:tab/>
        <w:t>(I)</w:t>
      </w:r>
      <w:r w:rsidRPr="004119B5">
        <w:rPr>
          <w:u w:color="000000" w:themeColor="text1"/>
        </w:rPr>
        <w:tab/>
        <w:t xml:space="preserve">‘Primary </w:t>
      </w:r>
      <w:r w:rsidRPr="004119B5">
        <w:rPr>
          <w:strike/>
          <w:u w:color="000000" w:themeColor="text1"/>
        </w:rPr>
        <w:t>ocean front</w:t>
      </w:r>
      <w:r w:rsidRPr="004119B5">
        <w:rPr>
          <w:u w:color="000000" w:themeColor="text1"/>
        </w:rPr>
        <w:t xml:space="preserve"> </w:t>
      </w:r>
      <w:r w:rsidRPr="004119B5">
        <w:rPr>
          <w:u w:val="single" w:color="000000" w:themeColor="text1"/>
        </w:rPr>
        <w:t>oceanfront</w:t>
      </w:r>
      <w:r w:rsidRPr="004119B5">
        <w:rPr>
          <w:u w:color="000000" w:themeColor="text1"/>
        </w:rPr>
        <w:t xml:space="preserve">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means </w:t>
      </w:r>
      <w:r w:rsidRPr="004119B5">
        <w:rPr>
          <w:strike/>
          <w:u w:color="000000" w:themeColor="text1"/>
        </w:rPr>
        <w:t>those dunes which</w:t>
      </w:r>
      <w:r w:rsidRPr="004119B5">
        <w:rPr>
          <w:u w:color="000000" w:themeColor="text1"/>
        </w:rPr>
        <w:t xml:space="preserve"> </w:t>
      </w:r>
      <w:r w:rsidRPr="004119B5">
        <w:rPr>
          <w:u w:val="single" w:color="000000" w:themeColor="text1"/>
        </w:rPr>
        <w:t>the dune or dunes that</w:t>
      </w:r>
      <w:r w:rsidRPr="004119B5">
        <w:rPr>
          <w:u w:color="000000" w:themeColor="text1"/>
        </w:rPr>
        <w:t xml:space="preserve"> constitute the front row of dunes adjacent to the Atlantic Ocean.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coastal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tidelands;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beaches;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lastRenderedPageBreak/>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w:t>
      </w:r>
      <w:r w:rsidR="008D3B0F">
        <w:rPr>
          <w:color w:val="000000" w:themeColor="text1"/>
          <w:u w:color="000000" w:themeColor="text1"/>
        </w:rPr>
        <w:t>,</w:t>
      </w:r>
      <w:r w:rsidRPr="00B00684">
        <w:rPr>
          <w:color w:val="000000" w:themeColor="text1"/>
          <w:u w:color="000000" w:themeColor="text1"/>
        </w:rPr>
        <w:t xml:space="preserve">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130(D)(10)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4.</w:t>
      </w:r>
      <w:r w:rsidRPr="004119B5">
        <w:rPr>
          <w:u w:color="000000" w:themeColor="text1"/>
        </w:rPr>
        <w:tab/>
        <w:t>Section 48</w:t>
      </w:r>
      <w:r w:rsidRPr="004119B5">
        <w:rPr>
          <w:u w:color="000000" w:themeColor="text1"/>
        </w:rPr>
        <w:noBreakHyphen/>
        <w:t>39</w:t>
      </w:r>
      <w:r w:rsidRPr="004119B5">
        <w:rPr>
          <w:u w:color="000000" w:themeColor="text1"/>
        </w:rPr>
        <w:noBreakHyphen/>
        <w:t xml:space="preserve">280 of the 1976 Code is amended to read: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9B5">
        <w:rPr>
          <w:u w:color="000000" w:themeColor="text1"/>
        </w:rPr>
        <w:tab/>
        <w:t>“Section 48</w:t>
      </w:r>
      <w:r w:rsidRPr="004119B5">
        <w:rPr>
          <w:u w:color="000000" w:themeColor="text1"/>
        </w:rPr>
        <w:noBreakHyphen/>
        <w:t>39</w:t>
      </w:r>
      <w:r w:rsidRPr="004119B5">
        <w:rPr>
          <w:u w:color="000000" w:themeColor="text1"/>
        </w:rPr>
        <w:noBreakHyphen/>
        <w:t>280.</w:t>
      </w:r>
      <w:r w:rsidRPr="00E65D49">
        <w:tab/>
        <w:t>(A)</w:t>
      </w:r>
      <w:r w:rsidRPr="00E65D49">
        <w:tab/>
        <w:t>A forty</w:t>
      </w:r>
      <w:r w:rsidRPr="00E65D49">
        <w:noBreakHyphen/>
        <w:t>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w:t>
      </w:r>
      <w:r w:rsidRPr="00E65D49">
        <w:rPr>
          <w:strike/>
        </w:rPr>
        <w:t xml:space="preserve"> Subject to Section 48</w:t>
      </w:r>
      <w:r w:rsidRPr="00E65D49">
        <w:rPr>
          <w:strike/>
        </w:rPr>
        <w:noBreakHyphen/>
        <w:t>39</w:t>
      </w:r>
      <w:r w:rsidRPr="00E65D49">
        <w:rPr>
          <w:strike/>
        </w:rPr>
        <w:noBreakHyphen/>
        <w:t>290(D), the baseline established pursuant to this section must not move seaward from its position on December 31, 2017</w:t>
      </w:r>
      <w:r w:rsidRPr="00E65D49">
        <w:t xml:space="preserve"> </w:t>
      </w:r>
      <w:r w:rsidRPr="00E65D49">
        <w:rPr>
          <w:u w:val="single"/>
        </w:rPr>
        <w:t>A baseline must not move seaward from its position in effect on December 31, 2017</w:t>
      </w:r>
      <w:r w:rsidRPr="00E65D49">
        <w:t>.</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(1)</w:t>
      </w:r>
      <w:r w:rsidRPr="00E65D49">
        <w:tab/>
        <w:t xml:space="preserve">The baseline for each standard erosion zone is established at the location of the crest of the primary oceanfront sand dune in </w:t>
      </w:r>
      <w:r w:rsidRPr="00E65D49">
        <w:lastRenderedPageBreak/>
        <w:t xml:space="preserve">that zone. In standard erosion zones in which the shoreline has been altered naturally or artificially by the construction of erosion control devices, </w:t>
      </w:r>
      <w:r w:rsidRPr="00E65D49">
        <w:rPr>
          <w:strike/>
        </w:rPr>
        <w:t>groins, or other manmade alterations,</w:t>
      </w:r>
      <w:r w:rsidRPr="00E65D49">
        <w:t xml:space="preserve"> the baseline must be established by the department using the best scientific and historical data, as where the crest of the primary oceanfront sand </w:t>
      </w:r>
      <w:r w:rsidRPr="00E65D49">
        <w:rPr>
          <w:strike/>
        </w:rPr>
        <w:t>dunes</w:t>
      </w:r>
      <w:r w:rsidRPr="00E65D49">
        <w:t xml:space="preserve"> </w:t>
      </w:r>
      <w:r w:rsidRPr="00E65D49">
        <w:rPr>
          <w:u w:val="single"/>
        </w:rPr>
        <w:t>dune</w:t>
      </w:r>
      <w:r w:rsidRPr="00E65D49">
        <w:t xml:space="preserve"> for that zone would be located if the shoreline had not been altered.</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(2)</w:t>
      </w:r>
      <w:r w:rsidRPr="00E65D49">
        <w:tab/>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r>
      <w:r w:rsidRPr="00E65D49">
        <w:tab/>
        <w:t>(3)</w:t>
      </w:r>
      <w:r w:rsidRPr="00E65D49">
        <w:tab/>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E65D49">
        <w:rPr>
          <w:strike/>
        </w:rPr>
        <w:t>dunes</w:t>
      </w:r>
      <w:r w:rsidRPr="00E65D49">
        <w:t xml:space="preserve"> </w:t>
      </w:r>
      <w:r w:rsidRPr="00E65D49">
        <w:rPr>
          <w:u w:val="single"/>
        </w:rPr>
        <w:t>dune</w:t>
      </w:r>
      <w:r w:rsidRPr="00E65D49">
        <w:t xml:space="preserve"> of that erosion zone is the baseline of that zone, not the location if the inlet had remained unstabilized.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(B)</w:t>
      </w:r>
      <w:r w:rsidRPr="004119B5">
        <w:rPr>
          <w:u w:color="000000" w:themeColor="text1"/>
        </w:rPr>
        <w:tab/>
        <w:t xml:space="preserve">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department as a part of the State Comprehensive Beach Management Plan.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(C)</w:t>
      </w:r>
      <w:r w:rsidRPr="004119B5">
        <w:rPr>
          <w:u w:color="000000" w:themeColor="text1"/>
        </w:rPr>
        <w:tab/>
      </w:r>
      <w:r w:rsidRPr="004119B5">
        <w:rPr>
          <w:strike/>
          <w:u w:color="000000" w:themeColor="text1"/>
        </w:rPr>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4119B5">
        <w:rPr>
          <w:u w:color="000000" w:themeColor="text1"/>
        </w:rPr>
        <w:t xml:space="preserve"> </w:t>
      </w:r>
      <w:r w:rsidRPr="004119B5">
        <w:rPr>
          <w:u w:val="single" w:color="000000" w:themeColor="text1"/>
        </w:rPr>
        <w:t xml:space="preserve">Between the establishment cycle of January 1, 2016, and December 31, 2019, the department must use the established baselines and setback lines that were established by January 31, 2012. After December 31, 2023, the department must initiate baselines and setback lines for all geographic areas where baselines and setback </w:t>
      </w:r>
      <w:r w:rsidRPr="004119B5">
        <w:rPr>
          <w:u w:val="single" w:color="000000" w:themeColor="text1"/>
        </w:rPr>
        <w:lastRenderedPageBreak/>
        <w:t>lines were established by January 31, 2012.</w:t>
      </w:r>
      <w:r w:rsidRPr="004119B5">
        <w:rPr>
          <w:u w:color="000000" w:themeColor="text1"/>
        </w:rPr>
        <w:t xml:space="preserve"> </w:t>
      </w:r>
      <w:r w:rsidRPr="004119B5">
        <w:rPr>
          <w:strike/>
          <w:u w:color="000000" w:themeColor="text1"/>
        </w:rPr>
        <w:t>After that revision,</w:t>
      </w:r>
      <w:r w:rsidRPr="004119B5">
        <w:rPr>
          <w:u w:color="000000" w:themeColor="text1"/>
        </w:rPr>
        <w:t xml:space="preserve"> </w:t>
      </w:r>
      <w:r w:rsidRPr="004119B5">
        <w:rPr>
          <w:u w:val="single" w:color="000000" w:themeColor="text1"/>
        </w:rPr>
        <w:t>The</w:t>
      </w:r>
      <w:r w:rsidRPr="004119B5">
        <w:rPr>
          <w:u w:color="000000" w:themeColor="text1"/>
        </w:rPr>
        <w:t xml:space="preserve"> baseline and setback </w:t>
      </w:r>
      <w:r w:rsidRPr="004119B5">
        <w:rPr>
          <w:strike/>
          <w:u w:color="000000" w:themeColor="text1"/>
        </w:rPr>
        <w:t>line</w:t>
      </w:r>
      <w:r w:rsidRPr="004119B5">
        <w:rPr>
          <w:u w:color="000000" w:themeColor="text1"/>
        </w:rPr>
        <w:t xml:space="preserve"> </w:t>
      </w:r>
      <w:r w:rsidRPr="004119B5">
        <w:rPr>
          <w:u w:val="single" w:color="000000" w:themeColor="text1"/>
        </w:rPr>
        <w:t>lines</w:t>
      </w:r>
      <w:r w:rsidRPr="004119B5">
        <w:rPr>
          <w:u w:color="000000" w:themeColor="text1"/>
        </w:rPr>
        <w:t xml:space="preserve"> must be </w:t>
      </w:r>
      <w:r w:rsidRPr="004119B5">
        <w:rPr>
          <w:strike/>
          <w:u w:color="000000" w:themeColor="text1"/>
        </w:rPr>
        <w:t>revised</w:t>
      </w:r>
      <w:r w:rsidRPr="004119B5">
        <w:rPr>
          <w:u w:color="000000" w:themeColor="text1"/>
        </w:rPr>
        <w:t xml:space="preserve"> </w:t>
      </w:r>
      <w:r w:rsidRPr="004119B5">
        <w:rPr>
          <w:u w:val="single" w:color="000000" w:themeColor="text1"/>
        </w:rPr>
        <w:t>established anew during establishment cycles that are</w:t>
      </w:r>
      <w:r w:rsidRPr="004119B5">
        <w:rPr>
          <w:u w:color="000000" w:themeColor="text1"/>
        </w:rPr>
        <w:t xml:space="preserve"> not less than every seven years</w:t>
      </w:r>
      <w:r w:rsidR="00801D6D" w:rsidRPr="00395C49">
        <w:rPr>
          <w:u w:val="single"/>
        </w:rPr>
        <w:t>,</w:t>
      </w:r>
      <w:r w:rsidRPr="004119B5">
        <w:rPr>
          <w:u w:color="000000" w:themeColor="text1"/>
        </w:rPr>
        <w:t xml:space="preserve"> but not more than every ten years </w:t>
      </w:r>
      <w:r w:rsidRPr="004119B5">
        <w:rPr>
          <w:strike/>
          <w:u w:color="000000" w:themeColor="text1"/>
        </w:rPr>
        <w:t>after each preceding revision</w:t>
      </w:r>
      <w:r w:rsidRPr="004119B5">
        <w:rPr>
          <w:u w:color="000000" w:themeColor="text1"/>
        </w:rPr>
        <w:t xml:space="preserve"> </w:t>
      </w:r>
      <w:r w:rsidRPr="004119B5">
        <w:rPr>
          <w:u w:val="single" w:color="000000" w:themeColor="text1"/>
        </w:rPr>
        <w:t>following the establishment cycle and must be based upon the best available data</w:t>
      </w:r>
      <w:r w:rsidRPr="004119B5">
        <w:rPr>
          <w:u w:color="000000" w:themeColor="text1"/>
        </w:rPr>
        <w:t xml:space="preserve">. The department shall establish the baseline and setback line for all locations where the baseline and setback line were established on or before January 31, 2012. Nothing in this section allows the seaward movement of the baseline after December 31, 2017. </w:t>
      </w:r>
      <w:r w:rsidRPr="004119B5">
        <w:rPr>
          <w:strike/>
          <w:u w:color="000000" w:themeColor="text1"/>
        </w:rPr>
        <w:t>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4119B5">
        <w:rPr>
          <w:u w:color="000000" w:themeColor="text1"/>
        </w:rPr>
        <w:t xml:space="preserve"> Until the department establishes new baselines and setback lines </w:t>
      </w:r>
      <w:r w:rsidRPr="004119B5">
        <w:rPr>
          <w:u w:val="single" w:color="000000" w:themeColor="text1"/>
        </w:rPr>
        <w:t>for a geographic area</w:t>
      </w:r>
      <w:r w:rsidRPr="004119B5">
        <w:rPr>
          <w:u w:color="000000" w:themeColor="text1"/>
        </w:rPr>
        <w:t xml:space="preserve">, the existing baselines and setback lines </w:t>
      </w:r>
      <w:r w:rsidRPr="004119B5">
        <w:rPr>
          <w:u w:val="single" w:color="000000" w:themeColor="text1"/>
        </w:rPr>
        <w:t>for the geographic area</w:t>
      </w:r>
      <w:r w:rsidRPr="004119B5">
        <w:rPr>
          <w:u w:color="000000" w:themeColor="text1"/>
        </w:rPr>
        <w:t xml:space="preserve"> must be used. </w:t>
      </w:r>
      <w:r w:rsidRPr="004119B5">
        <w:rPr>
          <w:strike/>
          <w:u w:color="000000" w:themeColor="text1"/>
        </w:rPr>
        <w:t>The department may stagger the revision of the baselines and setback lines of the erosion zones so long as every zone is revised in accordance with the time guidelines established in this section.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(D)</w:t>
      </w:r>
      <w:r w:rsidRPr="004119B5">
        <w:rPr>
          <w:u w:val="single" w:color="000000" w:themeColor="text1"/>
        </w:rPr>
        <w:t>(1)</w:t>
      </w:r>
      <w:r w:rsidRPr="004119B5">
        <w:rPr>
          <w:u w:color="000000" w:themeColor="text1"/>
        </w:rPr>
        <w:tab/>
      </w:r>
      <w:r w:rsidRPr="004119B5">
        <w:rPr>
          <w:u w:val="single" w:color="000000" w:themeColor="text1"/>
        </w:rPr>
        <w:t>In each new establishment cycle of the baselines and setback lines, the department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stagger the establishment of the baselines and setback lines by geographic area and provide a tentative schedule of establishment for each geographic area on the department’s website at least one hundred twenty days prior to beginning a new establishment cycle;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publish proposed locations of baselines and setback lines for a geographic area on the department’s website for public input at least one hundred twenty days prior to establishing the baselines and setback lines for the geographic area;</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 xml:space="preserve">on the date of the publication of the proposed locations of baselines and setback lines for a geographic area: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w:t>
      </w:r>
      <w:r w:rsidRPr="004119B5">
        <w:rPr>
          <w:u w:color="000000" w:themeColor="text1"/>
        </w:rPr>
        <w:t xml:space="preserve"> </w:t>
      </w:r>
      <w:r w:rsidRPr="004119B5">
        <w:rPr>
          <w:u w:color="000000" w:themeColor="text1"/>
        </w:rPr>
        <w:tab/>
      </w:r>
      <w:r w:rsidRPr="004119B5">
        <w:rPr>
          <w:u w:val="single" w:color="000000" w:themeColor="text1"/>
        </w:rPr>
        <w:t>provide notice of the publication in a newspaper of general statewide circulation and a newspaper of local circulation in the geographic area; and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(ii)</w:t>
      </w:r>
      <w:r w:rsidRPr="004119B5">
        <w:rPr>
          <w:u w:color="000000" w:themeColor="text1"/>
        </w:rPr>
        <w:tab/>
      </w:r>
      <w:r w:rsidRPr="004119B5">
        <w:rPr>
          <w:u w:val="single" w:color="000000" w:themeColor="text1"/>
        </w:rPr>
        <w:t>make readily available to the public, including on the department’s website, the information and raw data the department used in making its decision and an explanation for the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(d)</w:t>
      </w:r>
      <w:r w:rsidRPr="004119B5">
        <w:rPr>
          <w:u w:color="000000" w:themeColor="text1"/>
        </w:rPr>
        <w:tab/>
      </w:r>
      <w:r w:rsidRPr="004119B5">
        <w:rPr>
          <w:u w:val="single" w:color="000000" w:themeColor="text1"/>
        </w:rPr>
        <w:t xml:space="preserve">hold at least one public hearing in the county or municipality of a geographic area at least ninety days prior to </w:t>
      </w:r>
      <w:r w:rsidRPr="004119B5">
        <w:rPr>
          <w:u w:val="single" w:color="000000" w:themeColor="text1"/>
        </w:rPr>
        <w:lastRenderedPageBreak/>
        <w:t xml:space="preserve">establishing the baselines and setback lines for the geographic area; and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(e)</w:t>
      </w:r>
      <w:r w:rsidRPr="004119B5">
        <w:rPr>
          <w:u w:color="000000" w:themeColor="text1"/>
        </w:rPr>
        <w:tab/>
      </w:r>
      <w:r w:rsidRPr="004119B5">
        <w:rPr>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 xml:space="preserve">Baselines and setback lines for a geographic area are in effect upon the date of establishment and are subject to review pursuant to the provisions of subsection (F).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tab/>
      </w:r>
      <w:r w:rsidRPr="00721EAA">
        <w:rPr>
          <w:u w:val="single" w:color="000000" w:themeColor="text1"/>
        </w:rPr>
        <w:t>(E)(1)</w:t>
      </w:r>
      <w:r w:rsidRPr="00721EAA">
        <w:rPr>
          <w:u w:color="000000" w:themeColor="text1"/>
        </w:rPr>
        <w:tab/>
        <w:t xml:space="preserve">In order to locate the </w:t>
      </w:r>
      <w:r w:rsidRPr="00721EAA">
        <w:rPr>
          <w:strike/>
          <w:u w:color="000000" w:themeColor="text1"/>
        </w:rPr>
        <w:t>baseline and the setback line</w:t>
      </w:r>
      <w:r w:rsidRPr="00721EAA">
        <w:rPr>
          <w:u w:color="000000" w:themeColor="text1"/>
        </w:rPr>
        <w:t xml:space="preserve"> </w:t>
      </w:r>
      <w:r w:rsidRPr="00721EAA">
        <w:rPr>
          <w:u w:val="single" w:color="000000" w:themeColor="text1"/>
        </w:rPr>
        <w:t>baselines and the setback lines</w:t>
      </w:r>
      <w:r w:rsidRPr="00721EAA">
        <w:rPr>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721EAA">
        <w:rPr>
          <w:strike/>
          <w:u w:color="000000" w:themeColor="text1"/>
        </w:rPr>
        <w:t>baseline</w:t>
      </w:r>
      <w:r w:rsidRPr="00721EAA">
        <w:rPr>
          <w:u w:color="000000" w:themeColor="text1"/>
        </w:rPr>
        <w:t xml:space="preserve"> </w:t>
      </w:r>
      <w:r w:rsidRPr="00721EAA">
        <w:rPr>
          <w:u w:val="single" w:color="000000" w:themeColor="text1"/>
        </w:rPr>
        <w:t>baselines</w:t>
      </w:r>
      <w:r w:rsidRPr="00721EAA">
        <w:rPr>
          <w:u w:color="000000" w:themeColor="text1"/>
        </w:rPr>
        <w:t xml:space="preserve">.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(2)</w:t>
      </w:r>
      <w:r w:rsidRPr="00721EAA">
        <w:rPr>
          <w:u w:color="000000" w:themeColor="text1"/>
        </w:rPr>
        <w:tab/>
        <w:t>Surveyed topographical data typically must be gathered at two thousand foot intervals. However, in areas subject to significant near</w:t>
      </w:r>
      <w:r w:rsidRPr="00721EAA">
        <w:rPr>
          <w:u w:color="000000" w:themeColor="text1"/>
        </w:rPr>
        <w:noBreakHyphen/>
        <w:t xml:space="preserve">term development and in areas currently developed, the interval, at the discretion of the department, may be more frequent. The resulting surveys must locate the crest of the primary oceanfront sand </w:t>
      </w:r>
      <w:r w:rsidRPr="00721EAA">
        <w:rPr>
          <w:strike/>
          <w:u w:color="000000" w:themeColor="text1"/>
        </w:rPr>
        <w:t>dunes</w:t>
      </w:r>
      <w:r w:rsidRPr="00721EAA">
        <w:rPr>
          <w:u w:color="000000" w:themeColor="text1"/>
        </w:rPr>
        <w:t xml:space="preserve"> </w:t>
      </w:r>
      <w:r w:rsidRPr="00721EAA">
        <w:rPr>
          <w:u w:val="single" w:color="000000" w:themeColor="text1"/>
        </w:rPr>
        <w:t>dune</w:t>
      </w:r>
      <w:r w:rsidRPr="00721EAA">
        <w:rPr>
          <w:u w:color="000000" w:themeColor="text1"/>
        </w:rPr>
        <w:t xml:space="preserve"> to be used as the baseline for computing the forty</w:t>
      </w:r>
      <w:r w:rsidRPr="00721EAA">
        <w:rPr>
          <w:u w:color="000000" w:themeColor="text1"/>
        </w:rPr>
        <w:noBreakHyphen/>
        <w:t xml:space="preserve">year erosion rate. In cases where no primary oceanfront sand </w:t>
      </w:r>
      <w:r w:rsidRPr="00721EAA">
        <w:rPr>
          <w:strike/>
          <w:u w:color="000000" w:themeColor="text1"/>
        </w:rPr>
        <w:t>dunes exist</w:t>
      </w:r>
      <w:r w:rsidRPr="00721EAA">
        <w:rPr>
          <w:u w:color="000000" w:themeColor="text1"/>
        </w:rPr>
        <w:t xml:space="preserve"> </w:t>
      </w:r>
      <w:r w:rsidRPr="00721EAA">
        <w:rPr>
          <w:u w:val="single" w:color="000000" w:themeColor="text1"/>
        </w:rPr>
        <w:t>dune exists</w:t>
      </w:r>
      <w:r w:rsidRPr="00721EAA">
        <w:rPr>
          <w:u w:color="000000" w:themeColor="text1"/>
        </w:rPr>
        <w:t xml:space="preserve">, a study conducted by the department is required to determine where the upland location of the crest of the primary oceanfront sand dune would be located if the shoreline had not been altered.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(3)</w:t>
      </w:r>
      <w:r w:rsidRPr="00721EAA">
        <w:rPr>
          <w:u w:color="000000" w:themeColor="text1"/>
        </w:rPr>
        <w:tab/>
        <w:t>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836A2" w:rsidRPr="004119B5"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(4)</w:t>
      </w:r>
      <w:r w:rsidRPr="00721EAA">
        <w:rPr>
          <w:u w:color="000000" w:themeColor="text1"/>
        </w:rPr>
        <w:tab/>
      </w:r>
      <w:r w:rsidRPr="00721EAA">
        <w:rPr>
          <w:u w:val="single" w:color="000000" w:themeColor="text1"/>
        </w:rPr>
        <w:t>If an oceanfront area incurs extraordinary erosion due to the impact of a storm system or event named by the National Weather Service after June 1, 2018, the surveyed topographical data collected from the impacted oceanfront area since the last establishment cycle may not be used to locate the crests of primary oceanfront sand dunes or to establish baselines pursuant to subsection (A)(1) or (A)(3). The department must use data collected during previous cycles from the oceanfront area to locate the crests of primary oceanfront sand dunes and to establish baselines pursuant to items (A)(1) or (A)(3).</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lastRenderedPageBreak/>
        <w:tab/>
      </w:r>
      <w:r w:rsidRPr="004119B5">
        <w:rPr>
          <w:strike/>
          <w:u w:color="000000" w:themeColor="text1"/>
        </w:rPr>
        <w:t>(E)</w:t>
      </w:r>
      <w:r w:rsidRPr="004119B5">
        <w:rPr>
          <w:u w:val="single" w:color="000000" w:themeColor="text1"/>
        </w:rPr>
        <w:t>(F)(1)</w:t>
      </w:r>
      <w:r w:rsidRPr="004119B5">
        <w:rPr>
          <w:u w:color="000000" w:themeColor="text1"/>
        </w:rPr>
        <w:tab/>
        <w:t xml:space="preserve">A landowner claiming ownership of property </w:t>
      </w:r>
      <w:r w:rsidRPr="004119B5">
        <w:rPr>
          <w:u w:val="single" w:color="000000" w:themeColor="text1"/>
        </w:rPr>
        <w:t>adversely</w:t>
      </w:r>
      <w:r w:rsidRPr="004119B5">
        <w:rPr>
          <w:u w:color="000000" w:themeColor="text1"/>
        </w:rPr>
        <w:t xml:space="preserve"> affected </w:t>
      </w:r>
      <w:r w:rsidRPr="004119B5">
        <w:rPr>
          <w:strike/>
          <w:u w:color="000000" w:themeColor="text1"/>
        </w:rPr>
        <w:t>who feels that the final or revised setback line, baseline, or erosion rate as adopted is in error,</w:t>
      </w:r>
      <w:r w:rsidRPr="004119B5">
        <w:rPr>
          <w:u w:color="000000" w:themeColor="text1"/>
        </w:rPr>
        <w:t xml:space="preserve"> </w:t>
      </w:r>
      <w:r w:rsidRPr="004119B5">
        <w:rPr>
          <w:u w:val="single" w:color="000000" w:themeColor="text1"/>
        </w:rPr>
        <w:t>by the establishment of a baseline or setback line,</w:t>
      </w:r>
      <w:r w:rsidRPr="004119B5">
        <w:rPr>
          <w:u w:color="000000" w:themeColor="text1"/>
        </w:rPr>
        <w:t xml:space="preserve"> upon submittal of substantiating evidence, must be granted a review of the </w:t>
      </w:r>
      <w:r w:rsidRPr="004119B5">
        <w:rPr>
          <w:u w:val="single" w:color="000000" w:themeColor="text1"/>
        </w:rPr>
        <w:t>baseline or</w:t>
      </w:r>
      <w:r w:rsidRPr="004119B5">
        <w:rPr>
          <w:u w:color="000000" w:themeColor="text1"/>
        </w:rPr>
        <w:t xml:space="preserve"> setback line</w:t>
      </w:r>
      <w:r w:rsidRPr="004119B5">
        <w:rPr>
          <w:strike/>
          <w:u w:color="000000" w:themeColor="text1"/>
        </w:rPr>
        <w:t>, baseline, or erosion rate, or a review of all three</w:t>
      </w:r>
      <w:r w:rsidRPr="004119B5">
        <w:rPr>
          <w:u w:color="000000" w:themeColor="text1"/>
        </w:rPr>
        <w:t xml:space="preserve">. </w:t>
      </w:r>
      <w:r w:rsidRPr="004119B5">
        <w:rPr>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4119B5">
        <w:rPr>
          <w:u w:color="000000" w:themeColor="text1"/>
        </w:rPr>
        <w:t xml:space="preserve"> </w:t>
      </w:r>
      <w:r w:rsidRPr="004119B5">
        <w:rPr>
          <w:strike/>
          <w:u w:color="000000" w:themeColor="text1"/>
        </w:rPr>
        <w:t>The requests must be forwarded to</w:t>
      </w:r>
      <w:r w:rsidRPr="004119B5">
        <w:rPr>
          <w:u w:color="000000" w:themeColor="text1"/>
        </w:rPr>
        <w:t xml:space="preserve"> </w:t>
      </w:r>
      <w:r w:rsidRPr="004119B5">
        <w:rPr>
          <w:u w:val="single" w:color="000000" w:themeColor="text1"/>
        </w:rPr>
        <w:t>A review is initiated by filing a request for a review conference with</w:t>
      </w:r>
      <w:r w:rsidRPr="004119B5">
        <w:rPr>
          <w:u w:color="000000" w:themeColor="text1"/>
        </w:rPr>
        <w:t xml:space="preserve"> the department board </w:t>
      </w:r>
      <w:r w:rsidRPr="004119B5">
        <w:rPr>
          <w:strike/>
          <w:u w:color="000000" w:themeColor="text1"/>
        </w:rPr>
        <w:t>in accordance with Section 44</w:t>
      </w:r>
      <w:r w:rsidRPr="004119B5">
        <w:rPr>
          <w:strike/>
          <w:u w:color="000000" w:themeColor="text1"/>
        </w:rPr>
        <w:noBreakHyphen/>
        <w:t>1</w:t>
      </w:r>
      <w:r w:rsidRPr="004119B5">
        <w:rPr>
          <w:strike/>
          <w:u w:color="000000" w:themeColor="text1"/>
        </w:rPr>
        <w:noBreakHyphen/>
        <w:t>60, and the final decision of the board may be appealed to the Administrative Law Court, as provided in Chapter 23 of Title 1</w:t>
      </w:r>
      <w:r w:rsidRPr="004119B5">
        <w:rPr>
          <w:u w:color="000000" w:themeColor="text1"/>
        </w:rPr>
        <w:t xml:space="preserve"> </w:t>
      </w:r>
      <w:r w:rsidRPr="004119B5">
        <w:rPr>
          <w:u w:val="single" w:color="000000" w:themeColor="text1"/>
        </w:rPr>
        <w:t>via certified mail within one year of the establishment of the baseline or setback line and must include a one hundred dollar review fee per property</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The initial decision to establish a baseline or setback line must be a department staff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r>
      <w:r w:rsidRPr="004119B5">
        <w:rPr>
          <w:u w:val="single" w:color="000000" w:themeColor="text1"/>
        </w:rPr>
        <w:t>No later than sixty calendar days after the receipt of a request for review, the board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i/>
          <w:u w:color="000000" w:themeColor="text1"/>
        </w:rPr>
        <w:tab/>
      </w:r>
      <w:r w:rsidRPr="004119B5">
        <w:rPr>
          <w:u w:val="single" w:color="000000" w:themeColor="text1"/>
        </w:rPr>
        <w:t>decline to schedule a review conference in writing;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conduct a review conference in accordance with the provisions of item (4).</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(4)</w:t>
      </w:r>
      <w:r w:rsidRPr="004119B5">
        <w:rPr>
          <w:u w:color="000000" w:themeColor="text1"/>
        </w:rPr>
        <w:tab/>
      </w:r>
      <w:r w:rsidRPr="004119B5">
        <w:rPr>
          <w:u w:val="single"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w:t>
      </w:r>
      <w:r w:rsidRPr="004119B5">
        <w:rPr>
          <w:u w:val="single" w:color="000000" w:themeColor="text1"/>
        </w:rPr>
        <w:lastRenderedPageBreak/>
        <w:t>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(5)</w:t>
      </w:r>
      <w:r w:rsidRPr="004119B5">
        <w:rPr>
          <w:u w:color="000000" w:themeColor="text1"/>
        </w:rPr>
        <w:tab/>
      </w:r>
      <w:r w:rsidRPr="004119B5">
        <w:rPr>
          <w:u w:val="single" w:color="000000" w:themeColor="text1"/>
        </w:rPr>
        <w:t>A landowner or the county, municipality, or organization acting on behalf of the landowner may file a request with the Administrative Law Court, in accordance with Chapter 23, Title 1, for a contested case hearing within thirty calendar days after: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written notice is received by the landowner or the county, municipality, or organization acting on behalf of the landowner that the board declines to hold a review conference;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the sixty</w:t>
      </w:r>
      <w:r w:rsidRPr="004119B5">
        <w:rPr>
          <w:u w:val="single" w:color="000000" w:themeColor="text1"/>
        </w:rPr>
        <w:noBreakHyphen/>
        <w:t>calendar</w:t>
      </w:r>
      <w:r w:rsidRPr="004119B5">
        <w:rPr>
          <w:u w:val="single" w:color="000000" w:themeColor="text1"/>
        </w:rPr>
        <w:noBreakHyphen/>
        <w:t>day deadline to hold the review conference has lapsed and no conference has been held;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the final agency decision resulting from the review conference is received by the landowner or the county, municipality, or organization acting on behalf of the landowner.</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SECTION</w:t>
      </w:r>
      <w:r w:rsidRPr="00E65D49">
        <w:tab/>
        <w:t xml:space="preserve"> 5.</w:t>
      </w:r>
      <w:r w:rsidRPr="00E65D49">
        <w:tab/>
        <w:t xml:space="preserve">Notwithstanding the provisions of Section 48-39-280, the baseline or setback line in effect for a landowner is: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(1)</w:t>
      </w:r>
      <w:r w:rsidRPr="00E65D49">
        <w:tab/>
        <w:t xml:space="preserve">the baseline or setback line established during the 2009 through 2012 establishment cycle until the Department of Health and Environmental Control establishes a new baseline and setback line if the baseline established during the 2009 through 2012 establishment cycle is seaward of or at the same location as the baseline proposed by the department on October 6, 2017.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(2)</w:t>
      </w:r>
      <w:r w:rsidRPr="00E65D49">
        <w:tab/>
        <w:t xml:space="preserve">the baseline or setback line proposed by the department on October 6, 2017, until the department establishes a new baseline and setback line if the baseline established during the 2009 through 2012 </w:t>
      </w:r>
      <w:r w:rsidRPr="00E65D49">
        <w:lastRenderedPageBreak/>
        <w:t xml:space="preserve">establishment cycle is landward of the baseline proposed by the department on October 6, 2017.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t>(3)</w:t>
      </w:r>
      <w:r w:rsidRPr="00E65D49">
        <w:tab/>
      </w:r>
      <w:r w:rsidRPr="00E65D49">
        <w:rPr>
          <w:u w:color="000000" w:themeColor="text1"/>
        </w:rPr>
        <w:t>If a proposed baseline under review or appeal prior to January 1, 2018, is revised by a consent order, court order, or otherwise by the department to a location seaward of both the baseline established during the 2009 through 2012 establishment cycle and the baseline proposed on October 6, 2017, then both the revised proposed baseline as well as the revised proposed setback line will be in effect for the landowner until the department establishes a new baseline and setback line.</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6.</w:t>
      </w:r>
      <w:r w:rsidRPr="004119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1B2E"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19B5">
        <w:rPr>
          <w:u w:color="000000" w:themeColor="text1"/>
        </w:rPr>
        <w:t>SECTION</w:t>
      </w:r>
      <w:r w:rsidRPr="004119B5">
        <w:rPr>
          <w:u w:color="000000" w:themeColor="text1"/>
        </w:rPr>
        <w:tab/>
        <w:t>7.</w:t>
      </w:r>
      <w:r w:rsidRPr="004119B5">
        <w:rPr>
          <w:u w:color="000000" w:themeColor="text1"/>
        </w:rPr>
        <w:tab/>
        <w:t>This act takes effect upon approval by the Governor.</w:t>
      </w:r>
      <w:r w:rsidR="00A15F1A" w:rsidRPr="00B00684">
        <w:rPr>
          <w:color w:val="000000" w:themeColor="text1"/>
          <w:u w:color="000000" w:themeColor="text1"/>
        </w:rPr>
        <w:t xml:space="preserve">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223" w:rsidRDefault="006C3223" w:rsidP="006C3223">
      <w:pPr>
        <w:suppressAutoHyphens/>
      </w:pPr>
    </w:p>
    <w:sectPr w:rsidR="006C3223" w:rsidSect="00901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6A2" w:rsidRDefault="006836A2" w:rsidP="009F0C77">
      <w:r>
        <w:separator/>
      </w:r>
    </w:p>
  </w:endnote>
  <w:endnote w:type="continuationSeparator" w:id="0">
    <w:p w:rsidR="006836A2" w:rsidRDefault="00683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F9352C-5265-4146-95D5-BEAAB88A05E7}"/>
    <w:embedBold r:id="rId2" w:fontKey="{9ED15728-96B5-4996-9C2B-7D5508A75B9D}"/>
    <w:embedItalic r:id="rId3" w:fontKey="{E2F02C62-5AEA-485E-82A9-D98E020A90A0}"/>
  </w:font>
  <w:font w:name="Calibri">
    <w:panose1 w:val="020F0502020204030204"/>
    <w:charset w:val="00"/>
    <w:family w:val="swiss"/>
    <w:pitch w:val="variable"/>
    <w:sig w:usb0="E00002FF" w:usb1="4000ACFF" w:usb2="00000001" w:usb3="00000000" w:csb0="0000019F" w:csb1="00000000"/>
    <w:embedRegular r:id="rId4" w:fontKey="{C8B2AC61-7EA1-48D2-A603-6AE6FA2D8FDF}"/>
  </w:font>
  <w:font w:name="Cambria">
    <w:panose1 w:val="02040503050406030204"/>
    <w:charset w:val="00"/>
    <w:family w:val="roman"/>
    <w:pitch w:val="variable"/>
    <w:sig w:usb0="E00002FF" w:usb1="400004FF" w:usb2="00000000" w:usb3="00000000" w:csb0="0000019F" w:csb1="00000000"/>
    <w:embedRegular r:id="rId5" w:fontKey="{32F7F62F-1F57-432B-B830-9D1A6ED39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fldChar w:fldCharType="begin"/>
    </w:r>
    <w:r>
      <w:instrText xml:space="preserve"> PAGE  \* MERGEFORMAT </w:instrText>
    </w:r>
    <w:r>
      <w:fldChar w:fldCharType="separate"/>
    </w:r>
    <w:r w:rsidR="006C3223">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6C322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6A2" w:rsidRDefault="006836A2" w:rsidP="009F0C77">
      <w:r>
        <w:separator/>
      </w:r>
    </w:p>
  </w:footnote>
  <w:footnote w:type="continuationSeparator" w:id="0">
    <w:p w:rsidR="006836A2" w:rsidRDefault="00683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606F6"/>
    <w:rsid w:val="000976E3"/>
    <w:rsid w:val="000E0100"/>
    <w:rsid w:val="000E1785"/>
    <w:rsid w:val="000F40FA"/>
    <w:rsid w:val="001035F1"/>
    <w:rsid w:val="0010776B"/>
    <w:rsid w:val="00133E66"/>
    <w:rsid w:val="001435A3"/>
    <w:rsid w:val="0014597A"/>
    <w:rsid w:val="00146ED3"/>
    <w:rsid w:val="00151044"/>
    <w:rsid w:val="00191B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C49"/>
    <w:rsid w:val="003C4DAB"/>
    <w:rsid w:val="003D01E8"/>
    <w:rsid w:val="003E5288"/>
    <w:rsid w:val="003F6D79"/>
    <w:rsid w:val="0041760A"/>
    <w:rsid w:val="00417C01"/>
    <w:rsid w:val="004403BD"/>
    <w:rsid w:val="00461441"/>
    <w:rsid w:val="00465D1B"/>
    <w:rsid w:val="004809EE"/>
    <w:rsid w:val="004E7D54"/>
    <w:rsid w:val="00502DF7"/>
    <w:rsid w:val="005273C6"/>
    <w:rsid w:val="00530A69"/>
    <w:rsid w:val="00545593"/>
    <w:rsid w:val="00556EBF"/>
    <w:rsid w:val="005611D4"/>
    <w:rsid w:val="00577C6C"/>
    <w:rsid w:val="005A62FE"/>
    <w:rsid w:val="005C2FE2"/>
    <w:rsid w:val="005C6048"/>
    <w:rsid w:val="005D7769"/>
    <w:rsid w:val="005E2BC9"/>
    <w:rsid w:val="00605102"/>
    <w:rsid w:val="00606648"/>
    <w:rsid w:val="006215AA"/>
    <w:rsid w:val="006836A2"/>
    <w:rsid w:val="006913C9"/>
    <w:rsid w:val="0069470D"/>
    <w:rsid w:val="006C3223"/>
    <w:rsid w:val="006D58AA"/>
    <w:rsid w:val="00734F00"/>
    <w:rsid w:val="0076371C"/>
    <w:rsid w:val="007A70AE"/>
    <w:rsid w:val="00801D6D"/>
    <w:rsid w:val="00810F5D"/>
    <w:rsid w:val="008362E8"/>
    <w:rsid w:val="0085786E"/>
    <w:rsid w:val="008908F7"/>
    <w:rsid w:val="008A1768"/>
    <w:rsid w:val="008A489F"/>
    <w:rsid w:val="008D3B0F"/>
    <w:rsid w:val="008F0F33"/>
    <w:rsid w:val="008F4429"/>
    <w:rsid w:val="00901026"/>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B412D4"/>
    <w:rsid w:val="00B459AC"/>
    <w:rsid w:val="00BE3C22"/>
    <w:rsid w:val="00C0345E"/>
    <w:rsid w:val="00C15126"/>
    <w:rsid w:val="00C31C95"/>
    <w:rsid w:val="00C3483A"/>
    <w:rsid w:val="00C74E9D"/>
    <w:rsid w:val="00C826DD"/>
    <w:rsid w:val="00C82FD3"/>
    <w:rsid w:val="00C92819"/>
    <w:rsid w:val="00C95DF8"/>
    <w:rsid w:val="00CC6B7B"/>
    <w:rsid w:val="00CD2089"/>
    <w:rsid w:val="00D17D05"/>
    <w:rsid w:val="00D65CEC"/>
    <w:rsid w:val="00D73A67"/>
    <w:rsid w:val="00D970A9"/>
    <w:rsid w:val="00DF3845"/>
    <w:rsid w:val="00E41911"/>
    <w:rsid w:val="00E44B57"/>
    <w:rsid w:val="00E678F2"/>
    <w:rsid w:val="00E92EEF"/>
    <w:rsid w:val="00EF2368"/>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B36BF-22FB-40BD-8235-FCA95164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3F51EE82.dotm</Template>
  <TotalTime>0</TotalTime>
  <Pages>14</Pages>
  <Words>4936</Words>
  <Characters>25866</Characters>
  <Application>Microsoft Office Word</Application>
  <DocSecurity>0</DocSecurity>
  <Lines>580</Lines>
  <Paragraphs>129</Paragraphs>
  <ScaleCrop>false</ScaleCrop>
  <HeadingPairs>
    <vt:vector size="2" baseType="variant">
      <vt:variant>
        <vt:lpstr>Title</vt:lpstr>
      </vt:variant>
      <vt:variant>
        <vt:i4>1</vt:i4>
      </vt:variant>
    </vt:vector>
  </HeadingPairs>
  <TitlesOfParts>
    <vt:vector size="1" baseType="lpstr">
      <vt:lpstr>2017-2018 Bill 4683: Subject not yet available - South Carolina Legislature Online</vt:lpstr>
    </vt:vector>
  </TitlesOfParts>
  <Company>LPITS</Company>
  <LinksUpToDate>false</LinksUpToDate>
  <CharactersWithSpaces>30923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(Apr. 3, 2018) - South Carolina Legislature Online</dc:title>
  <dc:creator>%USERNAME%</dc:creator>
  <cp:lastModifiedBy>Lavarres Lynch</cp:lastModifiedBy>
  <cp:revision>2</cp:revision>
  <cp:lastPrinted>2018-01-23T14:37:00Z</cp:lastPrinted>
  <dcterms:created xsi:type="dcterms:W3CDTF">2018-04-03T17:00:00Z</dcterms:created>
  <dcterms:modified xsi:type="dcterms:W3CDTF">2018-04-03T17:00:00Z</dcterms:modified>
</cp:coreProperties>
</file>