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C0B" w:rsidRDefault="00902C0B" w:rsidP="009D1433">
      <w:pPr>
        <w:tabs>
          <w:tab w:val="right" w:pos="5933"/>
        </w:tabs>
        <w:suppressAutoHyphens/>
      </w:pPr>
    </w:p>
    <w:p w:rsidR="00570213" w:rsidRDefault="00570213" w:rsidP="009D1433">
      <w:pPr>
        <w:tabs>
          <w:tab w:val="right" w:pos="5933"/>
        </w:tabs>
        <w:suppressAutoHyphens/>
      </w:pPr>
      <w:r>
        <w:t>AMENDED--NOT PRINTED IN THE HOUSE</w:t>
      </w:r>
    </w:p>
    <w:p w:rsidR="00570213" w:rsidRDefault="00570213" w:rsidP="009D1433">
      <w:pPr>
        <w:tabs>
          <w:tab w:val="right" w:pos="5933"/>
        </w:tabs>
        <w:suppressAutoHyphens/>
      </w:pPr>
      <w:r>
        <w:t>Amt. No. 1A</w:t>
      </w:r>
      <w:r>
        <w:t>(COUNCIL\SA\4931C001.DKA.SA18)</w:t>
      </w:r>
    </w:p>
    <w:p w:rsidR="00570213" w:rsidRDefault="00570213" w:rsidP="009D1433">
      <w:pPr>
        <w:tabs>
          <w:tab w:val="right" w:pos="5933"/>
        </w:tabs>
        <w:suppressAutoHyphens/>
      </w:pPr>
      <w:r>
        <w:t>May 10, 2018</w:t>
      </w:r>
    </w:p>
    <w:p w:rsidR="00570213" w:rsidRDefault="00570213" w:rsidP="009D1433">
      <w:pPr>
        <w:tabs>
          <w:tab w:val="right" w:pos="5933"/>
        </w:tabs>
        <w:suppressAutoHyphens/>
      </w:pPr>
    </w:p>
    <w:p w:rsidR="009D1433" w:rsidRPr="009D1433" w:rsidRDefault="009D1433" w:rsidP="009D1433">
      <w:pPr>
        <w:tabs>
          <w:tab w:val="right" w:pos="5933"/>
        </w:tabs>
        <w:suppressAutoHyphens/>
      </w:pPr>
      <w:r>
        <w:tab/>
      </w:r>
      <w:r>
        <w:rPr>
          <w:b/>
          <w:sz w:val="36"/>
        </w:rPr>
        <w:t>H. 4931</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02C0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9D1433">
        <w:t>/18--S.</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433"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544D74"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902C0B"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92B50">
        <w:tab/>
      </w:r>
      <w:r>
        <w:rPr>
          <w:u w:val="single"/>
        </w:rPr>
        <w:t>(f)</w:t>
      </w:r>
      <w:r w:rsidRPr="00092B50">
        <w:tab/>
      </w:r>
      <w:r>
        <w:rPr>
          <w:u w:val="single"/>
        </w:rPr>
        <w:t xml:space="preserve">subject to subsection (C), an Applied Baccalaureate in Advanced Manufacturing Technology degree approved first by the Board for Technical and </w:t>
      </w:r>
      <w:r w:rsidR="00B22544">
        <w:rPr>
          <w:u w:val="single"/>
        </w:rPr>
        <w:t>Comprehensive Education and then the Commission on Higher Education</w:t>
      </w:r>
      <w:r w:rsidR="00B22544" w:rsidRPr="00D04A35">
        <w:t>.</w:t>
      </w:r>
    </w:p>
    <w:p w:rsidR="00A5592E"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126C">
        <w:t>(C)</w:t>
      </w:r>
      <w:r w:rsidRPr="0007126C">
        <w:tab/>
        <w:t xml:space="preserve">Notwithstanding subsection (B), the </w:t>
      </w:r>
      <w:r w:rsidRPr="0007126C">
        <w:rPr>
          <w:strike/>
        </w:rPr>
        <w:t>doctoral</w:t>
      </w:r>
      <w:r w:rsidRPr="0007126C">
        <w:t xml:space="preserve"> degrees set forth in subsection (B)(2)</w:t>
      </w:r>
      <w:r w:rsidRPr="0007126C">
        <w:rPr>
          <w:strike/>
        </w:rPr>
        <w:t>(c), (d), and</w:t>
      </w:r>
      <w:r w:rsidRPr="0007126C">
        <w:t xml:space="preserve"> (e)</w:t>
      </w:r>
      <w:r>
        <w:rPr>
          <w:u w:val="single"/>
        </w:rPr>
        <w:t xml:space="preserve">, </w:t>
      </w:r>
      <w:r w:rsidRPr="0007126C">
        <w:rPr>
          <w:u w:val="single"/>
        </w:rPr>
        <w:t>(f), (g), and (h), and subsection (B)(4)(f)</w:t>
      </w:r>
      <w:r w:rsidRPr="0007126C">
        <w:t xml:space="preserve"> are only allowed so long as new state general funds are not appropriated for the operations of the degree program.”</w:t>
      </w:r>
      <w:r>
        <w:t xml:space="preserve"> </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SECTION</w:t>
      </w:r>
      <w:r>
        <w:rPr>
          <w:snapToGrid w:val="0"/>
          <w:u w:color="000000" w:themeColor="text1"/>
        </w:rPr>
        <w:tab/>
        <w:t>2</w:t>
      </w:r>
      <w:r w:rsidRPr="007D23F2">
        <w:rPr>
          <w:snapToGrid w:val="0"/>
          <w:u w:color="000000" w:themeColor="text1"/>
        </w:rPr>
        <w:t>.</w:t>
      </w:r>
      <w:r w:rsidRPr="007D23F2">
        <w:rPr>
          <w:snapToGrid w:val="0"/>
          <w:u w:color="000000" w:themeColor="text1"/>
        </w:rPr>
        <w:tab/>
        <w:t>Section 13</w:t>
      </w:r>
      <w:r w:rsidRPr="007D23F2">
        <w:rPr>
          <w:snapToGrid w:val="0"/>
          <w:u w:color="000000" w:themeColor="text1"/>
        </w:rPr>
        <w:noBreakHyphen/>
        <w:t>1</w:t>
      </w:r>
      <w:r w:rsidRPr="007D23F2">
        <w:rPr>
          <w:snapToGrid w:val="0"/>
          <w:u w:color="000000" w:themeColor="text1"/>
        </w:rPr>
        <w:noBreakHyphen/>
        <w:t>2030 of the 1976 Code is amended to read:</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t>“Section 13</w:t>
      </w:r>
      <w:r w:rsidRPr="007D23F2">
        <w:rPr>
          <w:snapToGrid w:val="0"/>
          <w:u w:color="000000" w:themeColor="text1"/>
        </w:rPr>
        <w:noBreakHyphen/>
        <w:t>1</w:t>
      </w:r>
      <w:r w:rsidRPr="007D23F2">
        <w:rPr>
          <w:snapToGrid w:val="0"/>
          <w:u w:color="000000" w:themeColor="text1"/>
        </w:rPr>
        <w:noBreakHyphen/>
        <w:t>2030.</w:t>
      </w:r>
      <w:r w:rsidRPr="007D23F2">
        <w:rPr>
          <w:snapToGrid w:val="0"/>
          <w:u w:color="000000" w:themeColor="text1"/>
        </w:rPr>
        <w:tab/>
        <w:t>(</w:t>
      </w:r>
      <w:bookmarkStart w:id="5" w:name="temp"/>
      <w:bookmarkEnd w:id="5"/>
      <w:r w:rsidRPr="007D23F2">
        <w:rPr>
          <w:snapToGrid w:val="0"/>
          <w:u w:color="000000" w:themeColor="text1"/>
        </w:rPr>
        <w:t>A)</w:t>
      </w:r>
      <w:r w:rsidRPr="007D23F2">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7D23F2">
        <w:rPr>
          <w:strike/>
          <w:snapToGrid w:val="0"/>
          <w:u w:color="000000" w:themeColor="text1"/>
        </w:rPr>
        <w:t>shall be</w:t>
      </w:r>
      <w:r w:rsidRPr="007D23F2">
        <w:rPr>
          <w:snapToGrid w:val="0"/>
          <w:u w:color="000000" w:themeColor="text1"/>
        </w:rPr>
        <w:t xml:space="preserve"> </w:t>
      </w:r>
      <w:r w:rsidRPr="007D23F2">
        <w:rPr>
          <w:snapToGrid w:val="0"/>
          <w:u w:val="single" w:color="000000" w:themeColor="text1"/>
        </w:rPr>
        <w:t>is</w:t>
      </w:r>
      <w:r w:rsidRPr="007D23F2">
        <w:rPr>
          <w:snapToGrid w:val="0"/>
          <w:u w:color="000000" w:themeColor="text1"/>
        </w:rPr>
        <w:t xml:space="preserve"> comprised of the following members: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(1) </w:t>
      </w:r>
      <w:r w:rsidRPr="007D23F2">
        <w:rPr>
          <w:snapToGrid w:val="0"/>
          <w:u w:color="000000" w:themeColor="text1"/>
        </w:rPr>
        <w:tab/>
        <w:t>the Secretary of the Department of Commerce or his designee;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(2) </w:t>
      </w:r>
      <w:r w:rsidRPr="007D23F2">
        <w:rPr>
          <w:snapToGrid w:val="0"/>
          <w:u w:color="000000" w:themeColor="text1"/>
        </w:rPr>
        <w:tab/>
        <w:t>the State Superintendent of Education or his designee;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(3) </w:t>
      </w:r>
      <w:r w:rsidRPr="007D23F2">
        <w:rPr>
          <w:snapToGrid w:val="0"/>
          <w:u w:color="000000" w:themeColor="text1"/>
        </w:rPr>
        <w:tab/>
        <w:t>the Executive Director of the State Board for Technical and Comprehensive Education or his designee;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(4) </w:t>
      </w:r>
      <w:r w:rsidRPr="007D23F2">
        <w:rPr>
          <w:snapToGrid w:val="0"/>
          <w:u w:color="000000" w:themeColor="text1"/>
        </w:rPr>
        <w:tab/>
        <w:t>the Executive Director of the Department of Employment and Workforce or his designee;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(5) </w:t>
      </w:r>
      <w:r w:rsidRPr="007D23F2">
        <w:rPr>
          <w:snapToGrid w:val="0"/>
          <w:u w:color="000000" w:themeColor="text1"/>
        </w:rPr>
        <w:tab/>
        <w:t>the Executive Director of the Commission on Higher Education or his designee;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lastRenderedPageBreak/>
        <w:tab/>
      </w:r>
      <w:r w:rsidRPr="007D23F2">
        <w:rPr>
          <w:snapToGrid w:val="0"/>
          <w:u w:color="000000" w:themeColor="text1"/>
        </w:rPr>
        <w:tab/>
        <w:t xml:space="preserve">(6) </w:t>
      </w:r>
      <w:r w:rsidRPr="007D23F2">
        <w:rPr>
          <w:snapToGrid w:val="0"/>
          <w:u w:color="000000" w:themeColor="text1"/>
        </w:rPr>
        <w:tab/>
        <w:t xml:space="preserve">the president or provost of a research university who </w:t>
      </w:r>
      <w:r w:rsidRPr="007D23F2">
        <w:rPr>
          <w:strike/>
          <w:snapToGrid w:val="0"/>
          <w:u w:color="000000" w:themeColor="text1"/>
        </w:rPr>
        <w:t>shall be</w:t>
      </w:r>
      <w:r w:rsidRPr="007D23F2">
        <w:rPr>
          <w:snapToGrid w:val="0"/>
          <w:u w:color="000000" w:themeColor="text1"/>
        </w:rPr>
        <w:t xml:space="preserve"> </w:t>
      </w:r>
      <w:r w:rsidRPr="007D23F2">
        <w:rPr>
          <w:snapToGrid w:val="0"/>
          <w:u w:val="single" w:color="000000" w:themeColor="text1"/>
        </w:rPr>
        <w:t>is</w:t>
      </w:r>
      <w:r w:rsidRPr="007D23F2">
        <w:rPr>
          <w:snapToGrid w:val="0"/>
          <w:u w:color="000000" w:themeColor="text1"/>
        </w:rPr>
        <w:t xml:space="preserve"> selected by the presidents of the research universities;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(7) </w:t>
      </w:r>
      <w:r w:rsidRPr="007D23F2">
        <w:rPr>
          <w:snapToGrid w:val="0"/>
          <w:u w:color="000000" w:themeColor="text1"/>
        </w:rPr>
        <w:tab/>
        <w:t>the president or provost of a four</w:t>
      </w:r>
      <w:r w:rsidRPr="007D23F2">
        <w:rPr>
          <w:snapToGrid w:val="0"/>
          <w:u w:color="000000" w:themeColor="text1"/>
        </w:rPr>
        <w:noBreakHyphen/>
        <w:t xml:space="preserve">year college or university who </w:t>
      </w:r>
      <w:r w:rsidRPr="007D23F2">
        <w:rPr>
          <w:strike/>
          <w:snapToGrid w:val="0"/>
          <w:u w:color="000000" w:themeColor="text1"/>
        </w:rPr>
        <w:t>shall be</w:t>
      </w:r>
      <w:r w:rsidRPr="007D23F2">
        <w:rPr>
          <w:snapToGrid w:val="0"/>
          <w:u w:color="000000" w:themeColor="text1"/>
        </w:rPr>
        <w:t xml:space="preserve"> </w:t>
      </w:r>
      <w:r w:rsidRPr="007D23F2">
        <w:rPr>
          <w:snapToGrid w:val="0"/>
          <w:u w:val="single" w:color="000000" w:themeColor="text1"/>
        </w:rPr>
        <w:t>is</w:t>
      </w:r>
      <w:r w:rsidRPr="007D23F2">
        <w:rPr>
          <w:snapToGrid w:val="0"/>
          <w:u w:color="000000" w:themeColor="text1"/>
        </w:rPr>
        <w:t xml:space="preserve"> selected by the presidents of the four</w:t>
      </w:r>
      <w:r w:rsidRPr="007D23F2">
        <w:rPr>
          <w:snapToGrid w:val="0"/>
          <w:u w:color="000000" w:themeColor="text1"/>
        </w:rPr>
        <w:noBreakHyphen/>
        <w:t>year universities;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 xml:space="preserve">(8) </w:t>
      </w:r>
      <w:r w:rsidRPr="007D23F2">
        <w:rPr>
          <w:snapToGrid w:val="0"/>
          <w:u w:color="000000" w:themeColor="text1"/>
        </w:rPr>
        <w:tab/>
        <w:t xml:space="preserve">the president of a technical college who </w:t>
      </w:r>
      <w:r w:rsidRPr="007D23F2">
        <w:rPr>
          <w:strike/>
          <w:snapToGrid w:val="0"/>
          <w:u w:color="000000" w:themeColor="text1"/>
        </w:rPr>
        <w:t>shall be</w:t>
      </w:r>
      <w:r w:rsidRPr="007D23F2">
        <w:rPr>
          <w:snapToGrid w:val="0"/>
          <w:u w:color="000000" w:themeColor="text1"/>
        </w:rPr>
        <w:t xml:space="preserve"> </w:t>
      </w:r>
      <w:r w:rsidRPr="007D23F2">
        <w:rPr>
          <w:snapToGrid w:val="0"/>
          <w:u w:val="single" w:color="000000" w:themeColor="text1"/>
        </w:rPr>
        <w:t>is</w:t>
      </w:r>
      <w:r w:rsidRPr="007D23F2">
        <w:rPr>
          <w:snapToGrid w:val="0"/>
          <w:u w:color="000000" w:themeColor="text1"/>
        </w:rPr>
        <w:t xml:space="preserve"> appointed by the Chairman of the State Board for Technical and Comprehensive Education;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7D23F2">
        <w:rPr>
          <w:snapToGrid w:val="0"/>
          <w:u w:color="000000" w:themeColor="text1"/>
        </w:rPr>
        <w:tab/>
      </w:r>
      <w:r w:rsidRPr="007D23F2">
        <w:rPr>
          <w:snapToGrid w:val="0"/>
          <w:u w:color="000000" w:themeColor="text1"/>
        </w:rPr>
        <w:tab/>
        <w:t>(9)</w:t>
      </w:r>
      <w:r w:rsidRPr="007D23F2">
        <w:rPr>
          <w:snapToGrid w:val="0"/>
          <w:u w:color="000000" w:themeColor="text1"/>
        </w:rPr>
        <w:tab/>
      </w:r>
      <w:r w:rsidRPr="007D23F2">
        <w:rPr>
          <w:strike/>
          <w:snapToGrid w:val="0"/>
          <w:u w:color="000000" w:themeColor="text1"/>
        </w:rPr>
        <w:t>a person appointed by the Superintendent of Education who has particularized</w:t>
      </w:r>
      <w:r w:rsidRPr="007D23F2">
        <w:rPr>
          <w:snapToGrid w:val="0"/>
          <w:u w:color="000000" w:themeColor="text1"/>
        </w:rPr>
        <w:t xml:space="preserve"> </w:t>
      </w:r>
      <w:r w:rsidRPr="007D23F2">
        <w:rPr>
          <w:snapToGrid w:val="0"/>
          <w:u w:val="single" w:color="000000" w:themeColor="text1"/>
        </w:rPr>
        <w:t>the following members appointed by the State Superintendent of Education, who have</w:t>
      </w:r>
      <w:r w:rsidRPr="007D23F2">
        <w:rPr>
          <w:snapToGrid w:val="0"/>
          <w:u w:color="000000" w:themeColor="text1"/>
        </w:rPr>
        <w:t xml:space="preserve"> expertise regarding Chapter 59, Title 59, the South Carolina Education and Economic Development Act</w:t>
      </w:r>
      <w:r w:rsidRPr="007D23F2">
        <w:rPr>
          <w:snapToGrid w:val="0"/>
          <w:u w:val="single" w:color="000000" w:themeColor="text1"/>
        </w:rPr>
        <w:t>:</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r>
      <w:r w:rsidRPr="007D23F2">
        <w:rPr>
          <w:snapToGrid w:val="0"/>
          <w:u w:val="single" w:color="000000" w:themeColor="text1"/>
        </w:rPr>
        <w:t>(a)</w:t>
      </w:r>
      <w:r w:rsidRPr="007D23F2">
        <w:rPr>
          <w:snapToGrid w:val="0"/>
          <w:u w:color="000000" w:themeColor="text1"/>
        </w:rPr>
        <w:tab/>
      </w:r>
      <w:r w:rsidRPr="007D23F2">
        <w:rPr>
          <w:snapToGrid w:val="0"/>
          <w:u w:val="single" w:color="000000" w:themeColor="text1"/>
        </w:rPr>
        <w:t>a school district superintendent;</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r>
      <w:r w:rsidRPr="007D23F2">
        <w:rPr>
          <w:snapToGrid w:val="0"/>
          <w:u w:val="single" w:color="000000" w:themeColor="text1"/>
        </w:rPr>
        <w:t>(b)</w:t>
      </w:r>
      <w:r w:rsidRPr="007D23F2">
        <w:rPr>
          <w:snapToGrid w:val="0"/>
          <w:u w:color="000000" w:themeColor="text1"/>
        </w:rPr>
        <w:tab/>
      </w:r>
      <w:r w:rsidRPr="007D23F2">
        <w:rPr>
          <w:snapToGrid w:val="0"/>
          <w:u w:val="single" w:color="000000" w:themeColor="text1"/>
        </w:rPr>
        <w:t xml:space="preserve">a school counselor;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r>
      <w:r w:rsidRPr="007D23F2">
        <w:rPr>
          <w:snapToGrid w:val="0"/>
          <w:u w:val="single" w:color="000000" w:themeColor="text1"/>
        </w:rPr>
        <w:t>(c)</w:t>
      </w:r>
      <w:r w:rsidRPr="007D23F2">
        <w:rPr>
          <w:snapToGrid w:val="0"/>
          <w:u w:color="000000" w:themeColor="text1"/>
        </w:rPr>
        <w:tab/>
      </w:r>
      <w:r w:rsidRPr="007D23F2">
        <w:rPr>
          <w:snapToGrid w:val="0"/>
          <w:u w:val="single" w:color="000000" w:themeColor="text1"/>
        </w:rPr>
        <w:t>a career and technology education director</w:t>
      </w:r>
      <w:r w:rsidRPr="007D23F2">
        <w:rPr>
          <w:snapToGrid w:val="0"/>
          <w:u w:color="000000" w:themeColor="text1"/>
        </w:rPr>
        <w:t>; and</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(10)</w:t>
      </w:r>
      <w:r w:rsidRPr="007D23F2">
        <w:rPr>
          <w:snapToGrid w:val="0"/>
          <w:u w:color="000000" w:themeColor="text1"/>
        </w:rPr>
        <w:tab/>
        <w:t>a representative from the business community appointed by the President of the South Carolina Chamber of Commerce.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t>(B)(1)</w:t>
      </w:r>
      <w:r w:rsidRPr="007D23F2">
        <w:rPr>
          <w:snapToGrid w:val="0"/>
          <w:u w:color="000000" w:themeColor="text1"/>
        </w:rPr>
        <w:tab/>
        <w:t>The coordinating council shall:</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t>(a)</w:t>
      </w:r>
      <w:r w:rsidRPr="007D23F2">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7D23F2">
        <w:rPr>
          <w:strike/>
          <w:snapToGrid w:val="0"/>
          <w:u w:color="000000" w:themeColor="text1"/>
        </w:rPr>
        <w:t>. The primary workforce focus of the council shall be on persons over age twenty</w:t>
      </w:r>
      <w:r w:rsidRPr="007D23F2">
        <w:rPr>
          <w:strike/>
          <w:snapToGrid w:val="0"/>
          <w:u w:color="000000" w:themeColor="text1"/>
        </w:rPr>
        <w:noBreakHyphen/>
        <w:t>one</w:t>
      </w:r>
      <w:r w:rsidRPr="007D23F2">
        <w:rPr>
          <w:snapToGrid w:val="0"/>
          <w:u w:color="000000" w:themeColor="text1"/>
        </w:rPr>
        <w:t>;</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t>(b)</w:t>
      </w:r>
      <w:r w:rsidRPr="007D23F2">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t>(c)</w:t>
      </w:r>
      <w:r w:rsidRPr="007D23F2">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t>(d)</w:t>
      </w:r>
      <w:r w:rsidRPr="007D23F2">
        <w:rPr>
          <w:snapToGrid w:val="0"/>
          <w:u w:color="000000" w:themeColor="text1"/>
        </w:rPr>
        <w:tab/>
        <w:t>develop a method for identifying and addressing long</w:t>
      </w:r>
      <w:r w:rsidRPr="007D23F2">
        <w:rPr>
          <w:snapToGrid w:val="0"/>
          <w:u w:color="000000" w:themeColor="text1"/>
        </w:rPr>
        <w:noBreakHyphen/>
        <w:t>term workforce needs;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t>(e)</w:t>
      </w:r>
      <w:r w:rsidRPr="007D23F2">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lastRenderedPageBreak/>
        <w:tab/>
      </w:r>
      <w:r w:rsidRPr="007D23F2">
        <w:rPr>
          <w:snapToGrid w:val="0"/>
          <w:u w:color="000000" w:themeColor="text1"/>
        </w:rPr>
        <w:tab/>
      </w:r>
      <w:r w:rsidRPr="007D23F2">
        <w:rPr>
          <w:snapToGrid w:val="0"/>
          <w:u w:color="000000" w:themeColor="text1"/>
        </w:rPr>
        <w:tab/>
        <w:t>(f)</w:t>
      </w:r>
      <w:r w:rsidRPr="007D23F2">
        <w:rPr>
          <w:snapToGrid w:val="0"/>
          <w:u w:color="000000" w:themeColor="text1"/>
        </w:rPr>
        <w:tab/>
      </w:r>
      <w:r w:rsidRPr="007D23F2">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7D23F2">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7D23F2">
        <w:rPr>
          <w:snapToGrid w:val="0"/>
          <w:u w:color="000000" w:themeColor="text1"/>
        </w:rPr>
        <w:t xml:space="preserve"> and</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r>
      <w:r w:rsidRPr="007D23F2">
        <w:rPr>
          <w:snapToGrid w:val="0"/>
          <w:u w:color="000000" w:themeColor="text1"/>
        </w:rPr>
        <w:tab/>
      </w:r>
      <w:r w:rsidRPr="007D23F2">
        <w:rPr>
          <w:snapToGrid w:val="0"/>
          <w:u w:val="single" w:color="000000" w:themeColor="text1"/>
        </w:rPr>
        <w:t>(g)</w:t>
      </w:r>
      <w:r w:rsidRPr="007D23F2">
        <w:rPr>
          <w:snapToGrid w:val="0"/>
          <w:u w:color="000000" w:themeColor="text1"/>
        </w:rPr>
        <w:tab/>
        <w:t xml:space="preserve">submit an annual progress report to the Governor and the General Assembly, by </w:t>
      </w:r>
      <w:r w:rsidRPr="007D23F2">
        <w:rPr>
          <w:strike/>
          <w:snapToGrid w:val="0"/>
          <w:u w:color="000000" w:themeColor="text1"/>
        </w:rPr>
        <w:t>July</w:t>
      </w:r>
      <w:r w:rsidRPr="007D23F2">
        <w:rPr>
          <w:snapToGrid w:val="0"/>
          <w:u w:color="000000" w:themeColor="text1"/>
        </w:rPr>
        <w:t xml:space="preserve"> </w:t>
      </w:r>
      <w:r w:rsidRPr="007D23F2">
        <w:rPr>
          <w:snapToGrid w:val="0"/>
          <w:u w:val="single" w:color="000000" w:themeColor="text1"/>
        </w:rPr>
        <w:t>September</w:t>
      </w:r>
      <w:r w:rsidRPr="007D23F2">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r>
      <w:r w:rsidRPr="007D23F2">
        <w:rPr>
          <w:snapToGrid w:val="0"/>
          <w:u w:color="000000" w:themeColor="text1"/>
        </w:rPr>
        <w:tab/>
        <w:t>(2)</w:t>
      </w:r>
      <w:r w:rsidRPr="007D23F2">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D23F2">
        <w:rPr>
          <w:snapToGrid w:val="0"/>
          <w:u w:color="000000" w:themeColor="text1"/>
        </w:rPr>
        <w:tab/>
        <w:t>(C)</w:t>
      </w:r>
      <w:r w:rsidRPr="007D23F2">
        <w:rPr>
          <w:snapToGrid w:val="0"/>
          <w:u w:color="000000" w:themeColor="text1"/>
        </w:rPr>
        <w:tab/>
        <w:t xml:space="preserve">The Secretary of the Department of Commerce or his designee to the coordinating council </w:t>
      </w:r>
      <w:r w:rsidRPr="007D23F2">
        <w:rPr>
          <w:strike/>
          <w:snapToGrid w:val="0"/>
          <w:u w:color="000000" w:themeColor="text1"/>
        </w:rPr>
        <w:t>shall be</w:t>
      </w:r>
      <w:r w:rsidRPr="007D23F2">
        <w:rPr>
          <w:snapToGrid w:val="0"/>
          <w:u w:color="000000" w:themeColor="text1"/>
        </w:rPr>
        <w:t xml:space="preserve"> </w:t>
      </w:r>
      <w:r w:rsidRPr="007D23F2">
        <w:rPr>
          <w:snapToGrid w:val="0"/>
          <w:u w:val="single" w:color="000000" w:themeColor="text1"/>
        </w:rPr>
        <w:t>is</w:t>
      </w:r>
      <w:r w:rsidRPr="007D23F2">
        <w:rPr>
          <w:snapToGrid w:val="0"/>
          <w:u w:color="000000" w:themeColor="text1"/>
        </w:rPr>
        <w:t xml:space="preserve"> the coordinating council’s chairman. </w:t>
      </w: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snapToGrid w:val="0"/>
          <w:u w:color="000000" w:themeColor="text1"/>
        </w:rPr>
        <w:tab/>
        <w:t>(D)</w:t>
      </w:r>
      <w:r w:rsidRPr="007D23F2">
        <w:rPr>
          <w:snapToGrid w:val="0"/>
          <w:u w:color="000000" w:themeColor="text1"/>
        </w:rPr>
        <w:tab/>
      </w:r>
      <w:r w:rsidRPr="007D23F2">
        <w:rPr>
          <w:snapToGrid w:val="0"/>
          <w:u w:val="single" w:color="000000" w:themeColor="text1"/>
        </w:rPr>
        <w:t>The Department of Education,</w:t>
      </w:r>
      <w:r w:rsidRPr="007D23F2">
        <w:rPr>
          <w:snapToGrid w:val="0"/>
          <w:u w:color="000000" w:themeColor="text1"/>
        </w:rPr>
        <w:t xml:space="preserve"> the Commission on Higher Education, the Department of Commerce, and the State Board for Technical and Comprehensive Education shall provide staff for the coordinating council.</w:t>
      </w:r>
      <w:r w:rsidRPr="007D23F2">
        <w:rPr>
          <w:u w:color="000000" w:themeColor="text1"/>
        </w:rPr>
        <w:t>”</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7D23F2">
        <w:rPr>
          <w:u w:color="000000" w:themeColor="text1"/>
        </w:rPr>
        <w:t>.</w:t>
      </w:r>
      <w:r w:rsidRPr="007D23F2">
        <w:rPr>
          <w:u w:color="000000" w:themeColor="text1"/>
        </w:rPr>
        <w:tab/>
        <w:t>Chapter 53, Title 59 of the 1976 Code is amended by adding:</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D23F2">
        <w:rPr>
          <w:u w:color="000000" w:themeColor="text1"/>
        </w:rPr>
        <w:tab/>
        <w:t>“Article 29</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D23F2">
        <w:rPr>
          <w:u w:color="000000" w:themeColor="text1"/>
        </w:rPr>
        <w:tab/>
        <w:t xml:space="preserve">Pathways Initiative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Section 59</w:t>
      </w:r>
      <w:r w:rsidRPr="007D23F2">
        <w:rPr>
          <w:u w:color="000000" w:themeColor="text1"/>
        </w:rPr>
        <w:noBreakHyphen/>
        <w:t>53</w:t>
      </w:r>
      <w:r w:rsidRPr="007D23F2">
        <w:rPr>
          <w:u w:color="000000" w:themeColor="text1"/>
        </w:rPr>
        <w:noBreakHyphen/>
        <w:t>2620.</w:t>
      </w:r>
      <w:r w:rsidRPr="007D23F2">
        <w:rPr>
          <w:u w:color="000000" w:themeColor="text1"/>
        </w:rPr>
        <w:tab/>
        <w:t>(A)</w:t>
      </w:r>
      <w:r w:rsidRPr="007D23F2">
        <w:rPr>
          <w:u w:color="000000" w:themeColor="text1"/>
        </w:rPr>
        <w:tab/>
        <w:t xml:space="preserve">The member agencies of the </w:t>
      </w:r>
      <w:r w:rsidRPr="007D23F2">
        <w:t xml:space="preserve">Coordinating Council for Workforce Development, as designated in this article, </w:t>
      </w:r>
      <w:r w:rsidRPr="007D23F2">
        <w:rPr>
          <w:u w:color="000000" w:themeColor="text1"/>
        </w:rPr>
        <w:t xml:space="preserve">shall </w:t>
      </w:r>
      <w:r w:rsidRPr="007D23F2">
        <w:t>define, develop, and</w:t>
      </w:r>
      <w:r w:rsidRPr="007D23F2">
        <w:rPr>
          <w:u w:color="000000" w:themeColor="text1"/>
        </w:rPr>
        <w:t xml:space="preserve"> implement a statewide Pathways Initiative in alignment with </w:t>
      </w:r>
      <w:r w:rsidRPr="007D23F2">
        <w:rPr>
          <w:snapToGrid w:val="0"/>
        </w:rPr>
        <w:t xml:space="preserve">Chapter 59, Title 59, </w:t>
      </w:r>
      <w:r w:rsidRPr="007D23F2">
        <w:rPr>
          <w:u w:color="000000" w:themeColor="text1"/>
        </w:rPr>
        <w:t xml:space="preserve">the </w:t>
      </w:r>
      <w:r w:rsidRPr="007D23F2">
        <w:rPr>
          <w:snapToGrid w:val="0"/>
        </w:rPr>
        <w:t xml:space="preserve">South Carolina </w:t>
      </w:r>
      <w:r w:rsidRPr="007D23F2">
        <w:rPr>
          <w:u w:color="000000" w:themeColor="text1"/>
        </w:rPr>
        <w:t>Education and Economic Development Act</w:t>
      </w:r>
      <w:r w:rsidRPr="007D23F2">
        <w:t>,</w:t>
      </w:r>
      <w:r w:rsidRPr="007D23F2">
        <w:rPr>
          <w:u w:color="000000" w:themeColor="text1"/>
        </w:rPr>
        <w:t xml:space="preserve"> to improve employment outcomes and address critical workforce needs. The Pathways Initiative consists of a Career Pathways </w:t>
      </w:r>
      <w:r w:rsidRPr="007D23F2">
        <w:rPr>
          <w:u w:color="000000" w:themeColor="text1"/>
        </w:rPr>
        <w:lastRenderedPageBreak/>
        <w:t>program to facilitate a student’s transition from education to employment and a Pathways to New Opportunities Initiative to provide career services, including education, training, and job search assistance to adults.</w:t>
      </w: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(B)</w:t>
      </w:r>
      <w:r w:rsidRPr="007D23F2">
        <w:rPr>
          <w:u w:color="000000" w:themeColor="text1"/>
        </w:rPr>
        <w:tab/>
        <w:t xml:space="preserve">The Coordinating Council for Workforce Development shall </w:t>
      </w:r>
      <w:r w:rsidRPr="007D23F2">
        <w:t xml:space="preserve">include </w:t>
      </w:r>
      <w:r w:rsidRPr="007D23F2">
        <w:rPr>
          <w:snapToGrid w:val="0"/>
        </w:rPr>
        <w:t xml:space="preserve">an update on the Pathways Initiative </w:t>
      </w:r>
      <w:r w:rsidRPr="007D23F2">
        <w:t>in the progress</w:t>
      </w:r>
      <w:r w:rsidRPr="007D23F2">
        <w:rPr>
          <w:u w:color="000000" w:themeColor="text1"/>
        </w:rPr>
        <w:t xml:space="preserve"> report submitted </w:t>
      </w:r>
      <w:r w:rsidRPr="007D23F2">
        <w:rPr>
          <w:snapToGrid w:val="0"/>
        </w:rPr>
        <w:t xml:space="preserve">annually by September fifteenth to the Governor, the </w:t>
      </w:r>
      <w:r w:rsidRPr="007D23F2">
        <w:rPr>
          <w:u w:color="000000" w:themeColor="text1"/>
        </w:rPr>
        <w:t xml:space="preserve">Chairman of the Senate Finance Committee, and the Chairman of the House Ways and Means Committee.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Section 59</w:t>
      </w:r>
      <w:r w:rsidRPr="007D23F2">
        <w:rPr>
          <w:u w:color="000000" w:themeColor="text1"/>
        </w:rPr>
        <w:noBreakHyphen/>
        <w:t>53</w:t>
      </w:r>
      <w:r w:rsidRPr="007D23F2">
        <w:rPr>
          <w:u w:color="000000" w:themeColor="text1"/>
        </w:rPr>
        <w:noBreakHyphen/>
        <w:t>2630.</w:t>
      </w:r>
      <w:r w:rsidRPr="007D23F2">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Section 59</w:t>
      </w:r>
      <w:r w:rsidRPr="007D23F2">
        <w:rPr>
          <w:u w:color="000000" w:themeColor="text1"/>
        </w:rPr>
        <w:noBreakHyphen/>
        <w:t>53</w:t>
      </w:r>
      <w:r w:rsidRPr="007D23F2">
        <w:rPr>
          <w:u w:color="000000" w:themeColor="text1"/>
        </w:rPr>
        <w:noBreakHyphen/>
        <w:t>2640.</w:t>
      </w:r>
      <w:r w:rsidRPr="007D23F2">
        <w:rPr>
          <w:u w:color="000000" w:themeColor="text1"/>
        </w:rPr>
        <w:tab/>
        <w:t>(A)</w:t>
      </w:r>
      <w:r w:rsidRPr="007D23F2">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7D23F2">
        <w:rPr>
          <w:u w:color="000000" w:themeColor="text1"/>
        </w:rPr>
        <w:noBreakHyphen/>
        <w:t>specific expenses, to include program administration, career and technical equipment, facilities, instructional materials, transportation, and tuition grants. The SBTCE or board</w:t>
      </w:r>
      <w:r w:rsidRPr="007D23F2">
        <w:rPr>
          <w:u w:color="000000" w:themeColor="text1"/>
        </w:rPr>
        <w:noBreakHyphen/>
        <w:t xml:space="preserve">appointed committee, in consultation with the Department of Education, shall develop and maintain eligibility criteria for these competitive grants.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(B)</w:t>
      </w:r>
      <w:r w:rsidRPr="007D23F2">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(C)</w:t>
      </w:r>
      <w:r w:rsidRPr="007D23F2">
        <w:rPr>
          <w:u w:color="000000" w:themeColor="text1"/>
        </w:rPr>
        <w:tab/>
        <w:t>Funds must be used to establish new pathways or enhance existing pathways that confer the necessary skills and training to prepare students for careers in high</w:t>
      </w:r>
      <w:r w:rsidRPr="007D23F2">
        <w:rPr>
          <w:u w:color="000000" w:themeColor="text1"/>
        </w:rPr>
        <w:noBreakHyphen/>
        <w:t xml:space="preserve">demand fields. Funds only support career and technical education programs and courses in industry sectors with critical workforce needs.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(D)</w:t>
      </w:r>
      <w:r w:rsidRPr="007D23F2">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(E)</w:t>
      </w:r>
      <w:r w:rsidRPr="007D23F2">
        <w:rPr>
          <w:u w:color="000000" w:themeColor="text1"/>
        </w:rPr>
        <w:tab/>
        <w:t>The SBTCE or board</w:t>
      </w:r>
      <w:r w:rsidRPr="007D23F2">
        <w:rPr>
          <w:u w:color="000000" w:themeColor="text1"/>
        </w:rPr>
        <w:noBreakHyphen/>
        <w:t xml:space="preserve">appointed committee, in consultation with the State Department of Education, is responsible for </w:t>
      </w:r>
      <w:r w:rsidRPr="007D23F2">
        <w:rPr>
          <w:u w:color="000000" w:themeColor="text1"/>
        </w:rPr>
        <w:lastRenderedPageBreak/>
        <w:t xml:space="preserve">determining if a pathway meets the established criteria and may promulgate regulations further enumerating the specifics of these criteria and the evaluation process.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(F)</w:t>
      </w:r>
      <w:r w:rsidRPr="007D23F2">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7D23F2">
        <w:rPr>
          <w:snapToGrid w:val="0"/>
        </w:rPr>
        <w:t xml:space="preserve">the </w:t>
      </w:r>
      <w:r w:rsidRPr="007D23F2">
        <w:rPr>
          <w:u w:color="000000" w:themeColor="text1"/>
        </w:rPr>
        <w:t xml:space="preserve">Chairman of the Senate Finance Committee, and the Chairman of the House Ways and Means Committee. The report must include, at minimum, </w:t>
      </w:r>
      <w:r w:rsidRPr="007D23F2">
        <w:rPr>
          <w:snapToGrid w:val="0"/>
        </w:rPr>
        <w:t xml:space="preserve">an update of </w:t>
      </w:r>
      <w:r w:rsidRPr="007D23F2">
        <w:rPr>
          <w:u w:color="000000" w:themeColor="text1"/>
        </w:rPr>
        <w:t>progress toward full statewide implementation of the Career Pathways program, and upon implementation, an analysis of program accountability measures and key performance indicators.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(G)</w:t>
      </w:r>
      <w:r w:rsidRPr="007D23F2">
        <w:rPr>
          <w:u w:color="000000" w:themeColor="text1"/>
        </w:rPr>
        <w:tab/>
        <w:t>As used in this section: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t>(1)</w:t>
      </w:r>
      <w:r w:rsidRPr="007D23F2">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t>(2)</w:t>
      </w:r>
      <w:r w:rsidRPr="007D23F2">
        <w:rPr>
          <w:u w:color="000000" w:themeColor="text1"/>
        </w:rPr>
        <w:tab/>
        <w:t xml:space="preserve">‘Pathways’ means a partnership between a secondary education provider, a technical college, and a business or industry that incorporates the following elements: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r>
      <w:r w:rsidRPr="007D23F2">
        <w:rPr>
          <w:u w:color="000000" w:themeColor="text1"/>
        </w:rPr>
        <w:tab/>
        <w:t>(a)</w:t>
      </w:r>
      <w:r w:rsidRPr="007D23F2">
        <w:rPr>
          <w:u w:color="000000" w:themeColor="text1"/>
        </w:rPr>
        <w:tab/>
        <w:t>secondary and postsecondary education elements;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r>
      <w:r w:rsidRPr="007D23F2">
        <w:rPr>
          <w:u w:color="000000" w:themeColor="text1"/>
        </w:rPr>
        <w:tab/>
        <w:t>(b)</w:t>
      </w:r>
      <w:r w:rsidRPr="007D23F2">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r>
      <w:r w:rsidRPr="007D23F2">
        <w:rPr>
          <w:u w:color="000000" w:themeColor="text1"/>
        </w:rPr>
        <w:tab/>
        <w:t>(c)</w:t>
      </w:r>
      <w:r w:rsidRPr="007D23F2">
        <w:rPr>
          <w:u w:color="000000" w:themeColor="text1"/>
        </w:rPr>
        <w:tab/>
        <w:t xml:space="preserve">opportunity for secondary education students to participate in dual or concurrent enrollment programs or other ways to acquire postsecondary education credits at no cost to the student; and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r>
      <w:r w:rsidRPr="007D23F2">
        <w:rPr>
          <w:u w:color="000000" w:themeColor="text1"/>
        </w:rPr>
        <w:tab/>
      </w:r>
      <w:r w:rsidRPr="007D23F2">
        <w:rPr>
          <w:u w:color="000000" w:themeColor="text1"/>
        </w:rPr>
        <w:tab/>
        <w:t>(d)</w:t>
      </w:r>
      <w:r w:rsidRPr="007D23F2">
        <w:rPr>
          <w:u w:color="000000" w:themeColor="text1"/>
        </w:rPr>
        <w:tab/>
        <w:t>student attainment of an industry</w:t>
      </w:r>
      <w:r w:rsidRPr="007D23F2">
        <w:rPr>
          <w:u w:color="000000" w:themeColor="text1"/>
        </w:rPr>
        <w:noBreakHyphen/>
        <w:t>recognized credential, or a postsecondary certificate, diploma, or associate degree, with multiple entrance and exit points.</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Section 59</w:t>
      </w:r>
      <w:r w:rsidRPr="007D23F2">
        <w:rPr>
          <w:u w:color="000000" w:themeColor="text1"/>
        </w:rPr>
        <w:noBreakHyphen/>
        <w:t>53</w:t>
      </w:r>
      <w:r w:rsidRPr="007D23F2">
        <w:rPr>
          <w:u w:color="000000" w:themeColor="text1"/>
        </w:rPr>
        <w:noBreakHyphen/>
        <w:t>2650.</w:t>
      </w:r>
      <w:r w:rsidRPr="007D23F2">
        <w:rPr>
          <w:u w:color="000000" w:themeColor="text1"/>
        </w:rPr>
        <w:tab/>
        <w:t>(A)</w:t>
      </w:r>
      <w:r w:rsidRPr="007D23F2">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7D23F2">
        <w:rPr>
          <w:u w:color="000000" w:themeColor="text1"/>
        </w:rPr>
        <w:noBreakHyphen/>
        <w:t xml:space="preserve">demand occupations in industry sectors with critical workforce needs.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lastRenderedPageBreak/>
        <w:tab/>
        <w:t>(B)</w:t>
      </w:r>
      <w:r w:rsidRPr="007D23F2">
        <w:rPr>
          <w:u w:color="000000" w:themeColor="text1"/>
        </w:rPr>
        <w:tab/>
        <w:t>The SBTCE shall administer the Workforce Opportunity Scholarship and Grant Fund, established pursuant to Section 59</w:t>
      </w:r>
      <w:r w:rsidRPr="007D23F2">
        <w:rPr>
          <w:u w:color="000000" w:themeColor="text1"/>
        </w:rPr>
        <w:noBreakHyphen/>
        <w:t>53</w:t>
      </w:r>
      <w:r w:rsidRPr="007D23F2">
        <w:rPr>
          <w:u w:color="000000" w:themeColor="text1"/>
        </w:rPr>
        <w:noBreakHyphen/>
        <w:t>110, to be used for tuition and education</w:t>
      </w:r>
      <w:r w:rsidRPr="007D23F2">
        <w:rPr>
          <w:u w:color="000000" w:themeColor="text1"/>
        </w:rPr>
        <w:noBreakHyphen/>
        <w:t>related expenses for eligible career training and certification programs for qualifying individuals. The SBTCE, in consultation with the Department of Education and the Commission on Higher Education, shall develop and maintain eligibility criteria for scholarships and grants.  Funds may be used to provide opportunities through existing programs.</w:t>
      </w: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23F2">
        <w:rPr>
          <w:u w:color="000000" w:themeColor="text1"/>
        </w:rPr>
        <w:tab/>
        <w:t>(C)</w:t>
      </w:r>
      <w:r w:rsidRPr="007D23F2">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SECTION</w:t>
      </w:r>
      <w:r w:rsidRPr="007D23F2">
        <w:tab/>
      </w:r>
      <w:r>
        <w:t>4</w:t>
      </w:r>
      <w:r w:rsidRPr="007D23F2">
        <w:t>.</w:t>
      </w:r>
      <w:r w:rsidRPr="007D23F2">
        <w:tab/>
        <w:t>Article 1, Chapter 53, Title 59 of the 1976 Code is amended by adding:</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t>“Section 59</w:t>
      </w:r>
      <w:r w:rsidRPr="007D23F2">
        <w:noBreakHyphen/>
        <w:t>53</w:t>
      </w:r>
      <w:r w:rsidRPr="007D23F2">
        <w:noBreakHyphen/>
        <w:t>110.</w:t>
      </w:r>
      <w:r w:rsidRPr="007D23F2">
        <w:tab/>
        <w:t>(A)</w:t>
      </w:r>
      <w:r w:rsidRPr="007D23F2">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t>(B)</w:t>
      </w:r>
      <w:r w:rsidRPr="007D23F2">
        <w:tab/>
        <w:t>As used in this section: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t>(1)</w:t>
      </w:r>
      <w:r w:rsidRPr="007D23F2">
        <w:tab/>
        <w:t>‘Qualifying individual’ means a person who is a South Carolina resident and who is eligible to be enrolled in a South Carolina technical college or professional certification program.</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t>(2)</w:t>
      </w:r>
      <w:r w:rsidRPr="007D23F2">
        <w:tab/>
        <w:t>‘Cost of attendance’ means the total amount of money charged for the cost of a qualifying individual to attend an eligible program including, but not limited to, tuition, fees for attending the school, textbooks, and school related transportation, less all federal grants, need-based grants, and lottery tuition assistance.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t>(3)</w:t>
      </w:r>
      <w:r w:rsidRPr="007D23F2">
        <w:tab/>
        <w:t>‘Eligible program’ means a program that:</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r>
      <w:r w:rsidRPr="007D23F2">
        <w:tab/>
        <w:t>(a)</w:t>
      </w:r>
      <w:r w:rsidRPr="007D23F2">
        <w:tab/>
        <w:t>does not discriminate on the basis of race, color, or national origin;</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r>
      <w:r w:rsidRPr="007D23F2">
        <w:tab/>
        <w:t>(b)</w:t>
      </w:r>
      <w:r w:rsidRPr="007D23F2">
        <w:tab/>
        <w:t>is located in this State;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r>
      <w:r w:rsidRPr="007D23F2">
        <w:tab/>
      </w:r>
      <w:r w:rsidRPr="007D23F2">
        <w:tab/>
        <w:t>(c)</w:t>
      </w:r>
      <w:r w:rsidRPr="007D23F2">
        <w:tab/>
        <w:t>has school facilities that are subject to applicable federal, state, and local laws; and</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lastRenderedPageBreak/>
        <w:tab/>
      </w:r>
      <w:r w:rsidRPr="007D23F2">
        <w:tab/>
      </w:r>
      <w:r w:rsidRPr="007D23F2">
        <w:tab/>
        <w:t>(d)</w:t>
      </w:r>
      <w:r w:rsidRPr="007D23F2">
        <w:tab/>
        <w:t>meets all eligibility guidelines promulgated by the SBTCE;</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t>(C)</w:t>
      </w:r>
      <w:r w:rsidRPr="007D23F2">
        <w:tab/>
        <w:t xml:space="preserve">Grants may be awarded from the fund in an amount not exceeding the total cost of attendance for a qualifying individual to attend the eligible program of his choice. The cumulative grant award for each qualifying individual may not exceed ten thousand dollars.  </w:t>
      </w:r>
    </w:p>
    <w:p w:rsidR="00570213" w:rsidRPr="007D23F2"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23F2">
        <w:tab/>
        <w:t>(D)(1)</w:t>
      </w:r>
      <w:r w:rsidRPr="007D23F2">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570213" w:rsidRDefault="00570213" w:rsidP="00570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3F2">
        <w:tab/>
      </w:r>
      <w:r w:rsidRPr="007D23F2">
        <w:tab/>
        <w:t>(2)</w:t>
      </w:r>
      <w:r w:rsidRPr="007D23F2">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p>
    <w:p w:rsidR="00570213" w:rsidRDefault="00570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0213">
        <w:t>5</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3B8" w:rsidRDefault="001933B8" w:rsidP="001933B8">
      <w:pPr>
        <w:suppressAutoHyphens/>
      </w:pPr>
    </w:p>
    <w:sectPr w:rsidR="001933B8"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7ECAD9-1555-4912-8DFC-F792E5055F7E}"/>
    <w:embedBold r:id="rId2" w:fontKey="{7E45237A-DE6B-4996-A634-6A7B9A1BD6CC}"/>
  </w:font>
  <w:font w:name="Calibri">
    <w:panose1 w:val="020F0502020204030204"/>
    <w:charset w:val="00"/>
    <w:family w:val="swiss"/>
    <w:pitch w:val="variable"/>
    <w:sig w:usb0="E00002FF" w:usb1="4000ACFF" w:usb2="00000001" w:usb3="00000000" w:csb0="0000019F" w:csb1="00000000"/>
    <w:embedRegular r:id="rId3" w:fontKey="{12B9633F-6B08-4010-B0C7-429C4FF9EC0E}"/>
  </w:font>
  <w:font w:name="Cambria">
    <w:panose1 w:val="02040503050406030204"/>
    <w:charset w:val="00"/>
    <w:family w:val="roman"/>
    <w:pitch w:val="variable"/>
    <w:sig w:usb0="E00002FF" w:usb1="400004FF" w:usb2="00000000" w:usb3="00000000" w:csb0="0000019F" w:csb1="00000000"/>
    <w:embedRegular r:id="rId4" w:fontKey="{30426443-7544-4461-97B1-089C69F4BB55}"/>
  </w:font>
  <w:font w:name="Segoe UI">
    <w:panose1 w:val="020B0502040204020203"/>
    <w:charset w:val="00"/>
    <w:family w:val="swiss"/>
    <w:pitch w:val="variable"/>
    <w:sig w:usb0="E10022FF" w:usb1="C000E47F" w:usb2="00000029" w:usb3="00000000" w:csb0="000001DF" w:csb1="00000000"/>
    <w:embedRegular r:id="rId5" w:fontKey="{23AE1590-58C5-492C-BA29-63924DF9B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1933B8">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1933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933B8"/>
    <w:rsid w:val="001D08F2"/>
    <w:rsid w:val="001D3A58"/>
    <w:rsid w:val="001D525B"/>
    <w:rsid w:val="001D7F4F"/>
    <w:rsid w:val="001E3326"/>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70A1B"/>
    <w:rsid w:val="004809EE"/>
    <w:rsid w:val="004C7021"/>
    <w:rsid w:val="004E7D54"/>
    <w:rsid w:val="005273C6"/>
    <w:rsid w:val="00530A69"/>
    <w:rsid w:val="00544D74"/>
    <w:rsid w:val="00545593"/>
    <w:rsid w:val="00556EBF"/>
    <w:rsid w:val="00570213"/>
    <w:rsid w:val="00577C6C"/>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02C0B"/>
    <w:rsid w:val="00926431"/>
    <w:rsid w:val="0094021A"/>
    <w:rsid w:val="0097182B"/>
    <w:rsid w:val="009A545D"/>
    <w:rsid w:val="009B44AF"/>
    <w:rsid w:val="009C6A0B"/>
    <w:rsid w:val="009D1433"/>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33640-EB84-4724-867A-C51FBC05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10</Pages>
  <Words>2708</Words>
  <Characters>15867</Characters>
  <Application>Microsoft Office Word</Application>
  <DocSecurity>0</DocSecurity>
  <Lines>385</Lines>
  <Paragraphs>113</Paragraphs>
  <ScaleCrop>false</ScaleCrop>
  <HeadingPairs>
    <vt:vector size="2" baseType="variant">
      <vt:variant>
        <vt:lpstr>Title</vt:lpstr>
      </vt:variant>
      <vt:variant>
        <vt:i4>1</vt:i4>
      </vt:variant>
    </vt:vector>
  </HeadingPairs>
  <TitlesOfParts>
    <vt:vector size="1" baseType="lpstr">
      <vt:lpstr>2017-2018 Bill 4931: Subject not yet available - South Carolina Legislature Online</vt:lpstr>
    </vt:vector>
  </TitlesOfParts>
  <Company>LPITS</Company>
  <LinksUpToDate>false</LinksUpToDate>
  <CharactersWithSpaces>18718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(May 10, 2018) - South Carolina Legislature Online</dc:title>
  <dc:creator>angiemorgan</dc:creator>
  <cp:lastModifiedBy>Lavarres Lynch</cp:lastModifiedBy>
  <cp:revision>2</cp:revision>
  <cp:lastPrinted>2018-05-10T22:57:00Z</cp:lastPrinted>
  <dcterms:created xsi:type="dcterms:W3CDTF">2018-05-10T22:57:00Z</dcterms:created>
  <dcterms:modified xsi:type="dcterms:W3CDTF">2018-05-10T22:57:00Z</dcterms:modified>
</cp:coreProperties>
</file>