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BC0" w:rsidRDefault="00C13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13BC0" w:rsidRPr="00C13BC0" w:rsidRDefault="00C13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13BC0" w:rsidRDefault="00C13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BC0" w:rsidRDefault="00530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30C17" w:rsidRDefault="00530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530C17" w:rsidRDefault="00530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C17" w:rsidRPr="00530C17" w:rsidRDefault="00530C17" w:rsidP="00530C17">
      <w:pPr>
        <w:tabs>
          <w:tab w:val="right" w:pos="5933"/>
        </w:tabs>
        <w:suppressAutoHyphens/>
      </w:pPr>
      <w:r>
        <w:tab/>
      </w:r>
      <w:r>
        <w:rPr>
          <w:b/>
          <w:sz w:val="36"/>
        </w:rPr>
        <w:t>H. 5064</w:t>
      </w:r>
    </w:p>
    <w:p w:rsidR="00530C17" w:rsidRDefault="00530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C17" w:rsidRDefault="00530C17"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Funderburk, W. Newton and Norrell</w:t>
      </w:r>
    </w:p>
    <w:p w:rsidR="00530C17" w:rsidRDefault="00530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C17" w:rsidRDefault="00530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530C17" w:rsidRDefault="00530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6, 2018.</w:t>
      </w:r>
    </w:p>
    <w:p w:rsidR="00530C17" w:rsidRPr="00530C17" w:rsidRDefault="00530C17"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0C17" w:rsidRDefault="00530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C17" w:rsidRDefault="00530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30C17" w:rsidSect="00C13B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5B5B" w:rsidRDefault="00255B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5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849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4F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B05C6">
        <w:rPr>
          <w:color w:val="000000" w:themeColor="text1"/>
          <w:u w:color="000000" w:themeColor="text1"/>
        </w:rPr>
        <w:t>TO AMEND SECTION 1</w:t>
      </w:r>
      <w:r w:rsidR="00990A28">
        <w:rPr>
          <w:color w:val="000000" w:themeColor="text1"/>
          <w:u w:color="000000" w:themeColor="text1"/>
        </w:rPr>
        <w:noBreakHyphen/>
      </w:r>
      <w:r w:rsidRPr="005B05C6">
        <w:rPr>
          <w:color w:val="000000" w:themeColor="text1"/>
          <w:u w:color="000000" w:themeColor="text1"/>
        </w:rPr>
        <w:t>13</w:t>
      </w:r>
      <w:r w:rsidR="00990A28">
        <w:rPr>
          <w:color w:val="000000" w:themeColor="text1"/>
          <w:u w:color="000000" w:themeColor="text1"/>
        </w:rPr>
        <w:noBreakHyphen/>
      </w:r>
      <w:r w:rsidRPr="005B05C6">
        <w:rPr>
          <w:color w:val="000000" w:themeColor="text1"/>
          <w:u w:color="000000" w:themeColor="text1"/>
        </w:rPr>
        <w:t>40, CODE OF LAWS OF SOUTH CAROLINA, 1976, RELATING TO THE SOUTH CAROLINA COMMISSION ON HUMAN AFFAIRS, SO AS TO DELETE A DUPLICITOUS REPORTING REQUIREMENT; TO AMEND SECTION 1</w:t>
      </w:r>
      <w:r w:rsidR="00990A28">
        <w:rPr>
          <w:color w:val="000000" w:themeColor="text1"/>
          <w:u w:color="000000" w:themeColor="text1"/>
        </w:rPr>
        <w:noBreakHyphen/>
      </w:r>
      <w:r w:rsidRPr="005B05C6">
        <w:rPr>
          <w:color w:val="000000" w:themeColor="text1"/>
          <w:u w:color="000000" w:themeColor="text1"/>
        </w:rPr>
        <w:t>13</w:t>
      </w:r>
      <w:r w:rsidR="00990A28">
        <w:rPr>
          <w:color w:val="000000" w:themeColor="text1"/>
          <w:u w:color="000000" w:themeColor="text1"/>
        </w:rPr>
        <w:noBreakHyphen/>
      </w:r>
      <w:r w:rsidRPr="005B05C6">
        <w:rPr>
          <w:color w:val="000000" w:themeColor="text1"/>
          <w:u w:color="000000" w:themeColor="text1"/>
        </w:rPr>
        <w:t xml:space="preserve">70, RELATING TO THE POWERS OF THE COMMISSION, </w:t>
      </w:r>
      <w:r w:rsidR="0019394D">
        <w:rPr>
          <w:color w:val="000000" w:themeColor="text1"/>
          <w:u w:color="000000" w:themeColor="text1"/>
        </w:rPr>
        <w:t xml:space="preserve">SO AS </w:t>
      </w:r>
      <w:r w:rsidRPr="005B05C6">
        <w:rPr>
          <w:color w:val="000000" w:themeColor="text1"/>
          <w:u w:color="000000" w:themeColor="text1"/>
        </w:rPr>
        <w:t>TO CLARIFY THAT THE COMMISSION MAY REQUIRE REPORTS FROM ALL EMPLOYERS; TO AMEND SECTION 1</w:t>
      </w:r>
      <w:r w:rsidR="00990A28">
        <w:rPr>
          <w:color w:val="000000" w:themeColor="text1"/>
          <w:u w:color="000000" w:themeColor="text1"/>
        </w:rPr>
        <w:noBreakHyphen/>
      </w:r>
      <w:r w:rsidRPr="005B05C6">
        <w:rPr>
          <w:color w:val="000000" w:themeColor="text1"/>
          <w:u w:color="000000" w:themeColor="text1"/>
        </w:rPr>
        <w:t>13</w:t>
      </w:r>
      <w:r w:rsidR="00990A28">
        <w:rPr>
          <w:color w:val="000000" w:themeColor="text1"/>
          <w:u w:color="000000" w:themeColor="text1"/>
        </w:rPr>
        <w:noBreakHyphen/>
      </w:r>
      <w:r w:rsidRPr="005B05C6">
        <w:rPr>
          <w:color w:val="000000" w:themeColor="text1"/>
          <w:u w:color="000000" w:themeColor="text1"/>
        </w:rPr>
        <w:t>90, RELATING TO THE DUTIES OF THE COMMISSION, SO AS TO EXTEND THE TIME BY WHICH A COMPLAINANT MAY BRING AN ACTION IN CIRCUIT COURT; AND TO AMEND SECTION 31</w:t>
      </w:r>
      <w:r w:rsidR="00990A28">
        <w:rPr>
          <w:color w:val="000000" w:themeColor="text1"/>
          <w:u w:color="000000" w:themeColor="text1"/>
        </w:rPr>
        <w:noBreakHyphen/>
      </w:r>
      <w:r w:rsidRPr="005B05C6">
        <w:rPr>
          <w:color w:val="000000" w:themeColor="text1"/>
          <w:u w:color="000000" w:themeColor="text1"/>
        </w:rPr>
        <w:t>21</w:t>
      </w:r>
      <w:r w:rsidR="00990A28">
        <w:rPr>
          <w:color w:val="000000" w:themeColor="text1"/>
          <w:u w:color="000000" w:themeColor="text1"/>
        </w:rPr>
        <w:noBreakHyphen/>
      </w:r>
      <w:r w:rsidRPr="005B05C6">
        <w:rPr>
          <w:color w:val="000000" w:themeColor="text1"/>
          <w:u w:color="000000" w:themeColor="text1"/>
        </w:rPr>
        <w:t>120, RELATING TO COMPLAINTS INVOLVING DISCRIMINATORY HOUSING PRACTICES, SO AS TO DELETE A REQUIREMENT THAT THE COMPLAINT AND ANSWER BE VERIFIED.</w:t>
      </w:r>
      <w:bookmarkEnd w:id="1"/>
    </w:p>
    <w:p w:rsidR="0010776B" w:rsidRDefault="00DF2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F2666" w:rsidRDefault="00DF2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9EE" w:rsidRDefault="00184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9EE" w:rsidRDefault="00184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C17" w:rsidRDefault="00530C17"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t>SECTION</w:t>
      </w:r>
      <w:r w:rsidRPr="00366F85">
        <w:tab/>
        <w:t>1.</w:t>
      </w:r>
      <w:r w:rsidRPr="00366F85">
        <w:tab/>
      </w:r>
      <w:r w:rsidRPr="00366F85">
        <w:rPr>
          <w:u w:color="000000" w:themeColor="text1"/>
        </w:rPr>
        <w:t>Section 1</w:t>
      </w:r>
      <w:r w:rsidRPr="00366F85">
        <w:rPr>
          <w:u w:color="000000" w:themeColor="text1"/>
        </w:rPr>
        <w:noBreakHyphen/>
        <w:t>13</w:t>
      </w:r>
      <w:r w:rsidRPr="00366F85">
        <w:rPr>
          <w:u w:color="000000" w:themeColor="text1"/>
        </w:rPr>
        <w:noBreakHyphen/>
        <w:t>40(j) of the 1976 Code is amended to read:</w:t>
      </w:r>
    </w:p>
    <w:p w:rsidR="00530C17" w:rsidRPr="00366F85" w:rsidRDefault="00530C17"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C17" w:rsidRPr="00366F85" w:rsidRDefault="00530C17"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w:t>
      </w:r>
      <w:r w:rsidRPr="00366F85">
        <w:rPr>
          <w:strike/>
          <w:u w:color="000000" w:themeColor="text1"/>
        </w:rPr>
        <w:t>(j)</w:t>
      </w:r>
      <w:r w:rsidRPr="00366F85">
        <w:rPr>
          <w:u w:color="000000" w:themeColor="text1"/>
        </w:rPr>
        <w:tab/>
      </w:r>
      <w:r w:rsidRPr="00366F85">
        <w:rPr>
          <w:strike/>
          <w:u w:color="000000" w:themeColor="text1"/>
        </w:rPr>
        <w:t>The Commission shall render each year to the Governor and to the General Assembly a written report of its activities and of its recommendations.</w:t>
      </w:r>
      <w:r w:rsidRPr="00366F85">
        <w:rPr>
          <w:u w:color="000000" w:themeColor="text1"/>
        </w:rPr>
        <w:t>”</w:t>
      </w:r>
    </w:p>
    <w:p w:rsidR="00530C17" w:rsidRDefault="00530C17"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C17" w:rsidRDefault="00530C17"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SECTION</w:t>
      </w:r>
      <w:r w:rsidRPr="00366F85">
        <w:rPr>
          <w:u w:color="000000" w:themeColor="text1"/>
        </w:rPr>
        <w:tab/>
        <w:t>2.</w:t>
      </w:r>
      <w:r w:rsidRPr="00366F85">
        <w:rPr>
          <w:u w:color="000000" w:themeColor="text1"/>
        </w:rPr>
        <w:tab/>
        <w:t>Section 1</w:t>
      </w:r>
      <w:r w:rsidRPr="00366F85">
        <w:rPr>
          <w:u w:color="000000" w:themeColor="text1"/>
        </w:rPr>
        <w:noBreakHyphen/>
        <w:t>13</w:t>
      </w:r>
      <w:r w:rsidRPr="00366F85">
        <w:rPr>
          <w:u w:color="000000" w:themeColor="text1"/>
        </w:rPr>
        <w:noBreakHyphen/>
        <w:t>70(i) of the 1976 Code is amended to read:</w:t>
      </w:r>
    </w:p>
    <w:p w:rsidR="00530C17" w:rsidRPr="00366F85" w:rsidRDefault="00530C17"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C17" w:rsidRPr="00366F85" w:rsidRDefault="00530C17"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“(i)</w:t>
      </w:r>
      <w:r w:rsidRPr="00366F85">
        <w:rPr>
          <w:u w:color="000000" w:themeColor="text1"/>
        </w:rPr>
        <w:tab/>
        <w:t xml:space="preserve">To require from any </w:t>
      </w:r>
      <w:r w:rsidRPr="00366F85">
        <w:rPr>
          <w:strike/>
          <w:u w:color="000000" w:themeColor="text1"/>
        </w:rPr>
        <w:t>state agency or department or local subdivisions of a state agency or department</w:t>
      </w:r>
      <w:r w:rsidRPr="00366F85">
        <w:rPr>
          <w:u w:color="000000" w:themeColor="text1"/>
        </w:rPr>
        <w:t xml:space="preserve"> </w:t>
      </w:r>
      <w:r w:rsidRPr="00366F85">
        <w:rPr>
          <w:u w:val="single" w:color="000000" w:themeColor="text1"/>
        </w:rPr>
        <w:t>employer</w:t>
      </w:r>
      <w:r w:rsidRPr="00366F85">
        <w:rPr>
          <w:u w:color="000000" w:themeColor="text1"/>
        </w:rPr>
        <w:t xml:space="preserve"> such reports </w:t>
      </w:r>
      <w:r w:rsidRPr="00366F85">
        <w:rPr>
          <w:u w:color="000000" w:themeColor="text1"/>
        </w:rPr>
        <w:lastRenderedPageBreak/>
        <w:t xml:space="preserve">and information at such times as it may deem reasonably necessary to effectuate the purposes of this chapter </w:t>
      </w:r>
      <w:r w:rsidRPr="00366F85">
        <w:rPr>
          <w:u w:val="single"/>
        </w:rPr>
        <w:t>pursuant to Section 1</w:t>
      </w:r>
      <w:r w:rsidRPr="00366F85">
        <w:rPr>
          <w:u w:val="single"/>
        </w:rPr>
        <w:noBreakHyphen/>
        <w:t>13</w:t>
      </w:r>
      <w:r w:rsidRPr="00366F85">
        <w:rPr>
          <w:u w:val="single"/>
        </w:rPr>
        <w:noBreakHyphen/>
        <w:t>90(c) and (d)</w:t>
      </w:r>
      <w:r w:rsidRPr="00366F85">
        <w:rPr>
          <w:u w:color="000000" w:themeColor="text1"/>
        </w:rPr>
        <w:t>.”</w:t>
      </w:r>
    </w:p>
    <w:p w:rsidR="00530C17" w:rsidRDefault="00530C17"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C17" w:rsidRDefault="00530C17"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SECTION</w:t>
      </w:r>
      <w:r w:rsidRPr="00366F85">
        <w:rPr>
          <w:u w:color="000000" w:themeColor="text1"/>
        </w:rPr>
        <w:tab/>
        <w:t>3.</w:t>
      </w:r>
      <w:r w:rsidRPr="00366F85">
        <w:rPr>
          <w:u w:color="000000" w:themeColor="text1"/>
        </w:rPr>
        <w:tab/>
        <w:t>Section 1</w:t>
      </w:r>
      <w:r w:rsidRPr="00366F85">
        <w:rPr>
          <w:u w:color="000000" w:themeColor="text1"/>
        </w:rPr>
        <w:noBreakHyphen/>
        <w:t>13</w:t>
      </w:r>
      <w:r w:rsidRPr="00366F85">
        <w:rPr>
          <w:u w:color="000000" w:themeColor="text1"/>
        </w:rPr>
        <w:noBreakHyphen/>
        <w:t>90(d)(6) of the 1976 Code is amended to read:</w:t>
      </w:r>
    </w:p>
    <w:p w:rsidR="00530C17" w:rsidRPr="00366F85" w:rsidRDefault="00530C17"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C17" w:rsidRPr="00366F85" w:rsidRDefault="00530C17"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“(6)</w:t>
      </w:r>
      <w:r w:rsidRPr="00366F85">
        <w:rPr>
          <w:u w:color="000000" w:themeColor="text1"/>
        </w:rPr>
        <w:tab/>
        <w:t xml:space="preserve">If a charge filed with the commission by a complainant pursuant to this chapter is dismissed by the commission, or if within one hundred eighty days from the filing of the charge the commission has not filed an action under this chapter or entered into a conciliation agreement to which the complainant is a party, the complainant may bring an action in equity against the respondent in circuit court. The action must be brought within one year from the date of the violation alleged, or within one hundred twenty days from the date the complainant’s charge is dismissed, whichever occurs </w:t>
      </w:r>
      <w:r w:rsidRPr="00366F85">
        <w:rPr>
          <w:strike/>
          <w:u w:color="000000" w:themeColor="text1"/>
        </w:rPr>
        <w:t>earlier</w:t>
      </w:r>
      <w:r w:rsidRPr="00366F85">
        <w:rPr>
          <w:u w:color="000000" w:themeColor="text1"/>
        </w:rPr>
        <w:t xml:space="preserve"> </w:t>
      </w:r>
      <w:r w:rsidRPr="00366F85">
        <w:rPr>
          <w:u w:val="single" w:color="000000" w:themeColor="text1"/>
        </w:rPr>
        <w:t>later</w:t>
      </w:r>
      <w:r w:rsidRPr="00366F85">
        <w:rPr>
          <w:u w:color="000000" w:themeColor="text1"/>
        </w:rPr>
        <w:t>, except that this period may be extended by written consent of the respondent.”</w:t>
      </w:r>
    </w:p>
    <w:p w:rsidR="00530C17" w:rsidRDefault="00530C17"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C17" w:rsidRDefault="00530C17"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SECTION</w:t>
      </w:r>
      <w:r w:rsidRPr="00366F85">
        <w:rPr>
          <w:u w:color="000000" w:themeColor="text1"/>
        </w:rPr>
        <w:tab/>
        <w:t>4.</w:t>
      </w:r>
      <w:r w:rsidRPr="00366F85">
        <w:rPr>
          <w:u w:color="000000" w:themeColor="text1"/>
        </w:rPr>
        <w:tab/>
        <w:t>Section 31</w:t>
      </w:r>
      <w:r w:rsidRPr="00366F85">
        <w:rPr>
          <w:u w:color="000000" w:themeColor="text1"/>
        </w:rPr>
        <w:noBreakHyphen/>
        <w:t>21</w:t>
      </w:r>
      <w:r w:rsidRPr="00366F85">
        <w:rPr>
          <w:u w:color="000000" w:themeColor="text1"/>
        </w:rPr>
        <w:noBreakHyphen/>
        <w:t>120(B) of the 1976 Code is amended to read:</w:t>
      </w:r>
    </w:p>
    <w:p w:rsidR="00530C17" w:rsidRPr="00366F85" w:rsidRDefault="00530C17"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C17" w:rsidRPr="00366F85" w:rsidRDefault="00530C17"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“(B)</w:t>
      </w:r>
      <w:r w:rsidRPr="00366F85">
        <w:rPr>
          <w:u w:color="000000" w:themeColor="text1"/>
        </w:rPr>
        <w:tab/>
        <w:t xml:space="preserve">A complaint under subsection (A) must be filed within one hundred eighty days after the alleged discriminatory housing practice occurred. The complaint must be in writing and shall state the facts upon which the allegations of a discriminatory housing practice are based. A complaint may be reasonably and fairly amended at any time. A respondent may file an answer to the complaint against him, not later than ten days after receipt of notice, and may be amended reasonably and fairly by the respondent at any time. </w:t>
      </w:r>
      <w:r w:rsidRPr="00366F85">
        <w:rPr>
          <w:strike/>
          <w:u w:color="000000" w:themeColor="text1"/>
        </w:rPr>
        <w:t>Both complaint and answer must be verified.</w:t>
      </w:r>
      <w:r w:rsidRPr="00366F85">
        <w:rPr>
          <w:u w:color="000000" w:themeColor="text1"/>
        </w:rPr>
        <w:t>”</w:t>
      </w:r>
    </w:p>
    <w:p w:rsidR="00530C17" w:rsidRDefault="00530C17"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849EE" w:rsidRDefault="00530C17"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6F85">
        <w:rPr>
          <w:u w:color="000000" w:themeColor="text1"/>
        </w:rPr>
        <w:t>SECTION</w:t>
      </w:r>
      <w:r w:rsidRPr="00366F85">
        <w:rPr>
          <w:u w:color="000000" w:themeColor="text1"/>
        </w:rPr>
        <w:tab/>
        <w:t>5.</w:t>
      </w:r>
      <w:r w:rsidRPr="00366F85">
        <w:rPr>
          <w:u w:color="000000" w:themeColor="text1"/>
        </w:rPr>
        <w:tab/>
      </w:r>
      <w:r w:rsidRPr="00366F85">
        <w:t>This act takes effect upon approval by the Governor.</w:t>
      </w:r>
    </w:p>
    <w:p w:rsidR="00B225F8" w:rsidRDefault="00990A28" w:rsidP="00F11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722C" w:rsidRDefault="0064722C" w:rsidP="0064722C">
      <w:pPr>
        <w:suppressAutoHyphens/>
      </w:pPr>
    </w:p>
    <w:sectPr w:rsidR="0064722C" w:rsidSect="00C13B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9EE" w:rsidRDefault="001849EE" w:rsidP="009F0C77">
      <w:r>
        <w:separator/>
      </w:r>
    </w:p>
  </w:endnote>
  <w:endnote w:type="continuationSeparator" w:id="0">
    <w:p w:rsidR="001849EE" w:rsidRDefault="001849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E471DE-13E0-40B3-BC0B-192C81FCD8AB}"/>
    <w:embedBold r:id="rId2" w:fontKey="{306D719A-EEF3-4B2B-8970-C8B706C66B17}"/>
  </w:font>
  <w:font w:name="Calibri">
    <w:panose1 w:val="020F0502020204030204"/>
    <w:charset w:val="00"/>
    <w:family w:val="swiss"/>
    <w:pitch w:val="variable"/>
    <w:sig w:usb0="E00002FF" w:usb1="4000ACFF" w:usb2="00000001" w:usb3="00000000" w:csb0="0000019F" w:csb1="00000000"/>
    <w:embedRegular r:id="rId3" w:fontKey="{095D2FD7-9EDC-470C-9E21-C1647CC9AFDD}"/>
  </w:font>
  <w:font w:name="Cambria">
    <w:panose1 w:val="02040503050406030204"/>
    <w:charset w:val="00"/>
    <w:family w:val="roman"/>
    <w:pitch w:val="variable"/>
    <w:sig w:usb0="E00002FF" w:usb1="400004FF" w:usb2="00000000" w:usb3="00000000" w:csb0="0000019F" w:csb1="00000000"/>
    <w:embedRegular r:id="rId4" w:fontKey="{754AA908-3BD4-4C07-9648-B22BD0F8EB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5F8" w:rsidRPr="00255B5B" w:rsidRDefault="00255B5B" w:rsidP="00255B5B">
    <w:pPr>
      <w:pStyle w:val="Footer"/>
      <w:tabs>
        <w:tab w:val="clear" w:pos="4680"/>
        <w:tab w:val="clear" w:pos="9360"/>
        <w:tab w:val="center" w:pos="2995"/>
      </w:tabs>
      <w:spacing w:before="120"/>
    </w:pPr>
    <w:r>
      <w:t>[5064</w:t>
    </w:r>
    <w:r w:rsidR="00C13BC0">
      <w:t>-</w:t>
    </w:r>
    <w:r w:rsidR="00C13BC0">
      <w:fldChar w:fldCharType="begin"/>
    </w:r>
    <w:r w:rsidR="00C13BC0">
      <w:instrText xml:space="preserve"> PAGE  \* MERGEFORMAT </w:instrText>
    </w:r>
    <w:r w:rsidR="00C13BC0">
      <w:fldChar w:fldCharType="separate"/>
    </w:r>
    <w:r w:rsidR="00016475">
      <w:rPr>
        <w:noProof/>
      </w:rPr>
      <w:t>1</w:t>
    </w:r>
    <w:r w:rsidR="00C13BC0">
      <w:fldChar w:fldCharType="end"/>
    </w:r>
    <w:r w:rsidR="00C13BC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BC0" w:rsidRPr="00255B5B" w:rsidRDefault="00C13BC0" w:rsidP="00255B5B">
    <w:pPr>
      <w:pStyle w:val="Footer"/>
      <w:tabs>
        <w:tab w:val="clear" w:pos="4680"/>
        <w:tab w:val="clear" w:pos="9360"/>
        <w:tab w:val="center" w:pos="2995"/>
      </w:tabs>
      <w:spacing w:before="120"/>
    </w:pPr>
    <w:r>
      <w:t>[5064]</w:t>
    </w:r>
    <w:r>
      <w:tab/>
    </w:r>
    <w:r>
      <w:fldChar w:fldCharType="begin"/>
    </w:r>
    <w:r>
      <w:instrText xml:space="preserve"> PAGE  \* MERGEFORMAT </w:instrText>
    </w:r>
    <w:r>
      <w:fldChar w:fldCharType="separate"/>
    </w:r>
    <w:r w:rsidR="006472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9EE" w:rsidRDefault="001849EE" w:rsidP="009F0C77">
      <w:r>
        <w:separator/>
      </w:r>
    </w:p>
  </w:footnote>
  <w:footnote w:type="continuationSeparator" w:id="0">
    <w:p w:rsidR="001849EE" w:rsidRDefault="001849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67DG18"/>
    <w:docVar w:name="CoverBillType" w:val="b"/>
    <w:docVar w:name="DocPath" w:val="L:\Council\bills\BBM\9767DG18.DOCX"/>
    <w:docVar w:name="dvBillNumber" w:val="5064"/>
    <w:docVar w:name="dvBillNumberPrefix" w:val="H. "/>
    <w:docVar w:name="dvOriginalBody" w:val="House"/>
    <w:docVar w:name="dvSteno" w:val="BBM"/>
    <w:docVar w:name="NameofBody" w:val="h"/>
    <w:docVar w:name="vGroup2" w:val="Council"/>
  </w:docVars>
  <w:rsids>
    <w:rsidRoot w:val="001849EE"/>
    <w:rsid w:val="00011869"/>
    <w:rsid w:val="00015CD6"/>
    <w:rsid w:val="00016475"/>
    <w:rsid w:val="000E0100"/>
    <w:rsid w:val="000E1785"/>
    <w:rsid w:val="000F40FA"/>
    <w:rsid w:val="001035F1"/>
    <w:rsid w:val="0010776B"/>
    <w:rsid w:val="00133E66"/>
    <w:rsid w:val="001435A3"/>
    <w:rsid w:val="00146ED3"/>
    <w:rsid w:val="00151044"/>
    <w:rsid w:val="001849EE"/>
    <w:rsid w:val="0019394D"/>
    <w:rsid w:val="001D08F2"/>
    <w:rsid w:val="001D257E"/>
    <w:rsid w:val="001D3A58"/>
    <w:rsid w:val="001D525B"/>
    <w:rsid w:val="001D7F4F"/>
    <w:rsid w:val="00205238"/>
    <w:rsid w:val="002321B6"/>
    <w:rsid w:val="00250967"/>
    <w:rsid w:val="002516E7"/>
    <w:rsid w:val="0025361C"/>
    <w:rsid w:val="002543C8"/>
    <w:rsid w:val="0025541D"/>
    <w:rsid w:val="00255B5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0C17"/>
    <w:rsid w:val="00545593"/>
    <w:rsid w:val="00556EBF"/>
    <w:rsid w:val="00577C6C"/>
    <w:rsid w:val="005A62FE"/>
    <w:rsid w:val="005C2FE2"/>
    <w:rsid w:val="005E2BC9"/>
    <w:rsid w:val="00605102"/>
    <w:rsid w:val="006215AA"/>
    <w:rsid w:val="0064722C"/>
    <w:rsid w:val="006913C9"/>
    <w:rsid w:val="0069470D"/>
    <w:rsid w:val="006D58AA"/>
    <w:rsid w:val="00734F00"/>
    <w:rsid w:val="007A70AE"/>
    <w:rsid w:val="008362E8"/>
    <w:rsid w:val="0085786E"/>
    <w:rsid w:val="008A1768"/>
    <w:rsid w:val="008A489F"/>
    <w:rsid w:val="008F0F33"/>
    <w:rsid w:val="008F4429"/>
    <w:rsid w:val="0094021A"/>
    <w:rsid w:val="00990A28"/>
    <w:rsid w:val="009B44AF"/>
    <w:rsid w:val="009C6A0B"/>
    <w:rsid w:val="009F0C77"/>
    <w:rsid w:val="009F4DD1"/>
    <w:rsid w:val="00A02543"/>
    <w:rsid w:val="00A41684"/>
    <w:rsid w:val="00A64E80"/>
    <w:rsid w:val="00A72BCD"/>
    <w:rsid w:val="00A741D9"/>
    <w:rsid w:val="00A749D9"/>
    <w:rsid w:val="00A833AB"/>
    <w:rsid w:val="00A9741D"/>
    <w:rsid w:val="00AC34A2"/>
    <w:rsid w:val="00AD1C9A"/>
    <w:rsid w:val="00AD4B17"/>
    <w:rsid w:val="00B225F8"/>
    <w:rsid w:val="00B412D4"/>
    <w:rsid w:val="00BE3C22"/>
    <w:rsid w:val="00C0345E"/>
    <w:rsid w:val="00C13BC0"/>
    <w:rsid w:val="00C31C95"/>
    <w:rsid w:val="00C3483A"/>
    <w:rsid w:val="00C74E9D"/>
    <w:rsid w:val="00C826DD"/>
    <w:rsid w:val="00C82FD3"/>
    <w:rsid w:val="00C92819"/>
    <w:rsid w:val="00CC6B7B"/>
    <w:rsid w:val="00CD2089"/>
    <w:rsid w:val="00D34FC1"/>
    <w:rsid w:val="00D71031"/>
    <w:rsid w:val="00D73A67"/>
    <w:rsid w:val="00D970A9"/>
    <w:rsid w:val="00DF2666"/>
    <w:rsid w:val="00DF3845"/>
    <w:rsid w:val="00E41911"/>
    <w:rsid w:val="00E44B57"/>
    <w:rsid w:val="00E92EEF"/>
    <w:rsid w:val="00EF2368"/>
    <w:rsid w:val="00F1108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00D340-CCCF-42CD-B21C-AE825192B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2BB08-3F43-4473-808D-B6C84898D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C7DE5389.dotm</Template>
  <TotalTime>0</TotalTime>
  <Pages>3</Pages>
  <Words>496</Words>
  <Characters>2476</Characters>
  <Application>Microsoft Office Word</Application>
  <DocSecurity>0</DocSecurity>
  <Lines>91</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5064 Text of Previous Version (Mar. 22, 2018) - South Carolina Legislature Online</dc:title>
  <dc:creator>BRENDA MELTON</dc:creator>
  <cp:lastModifiedBy>Lavarres Lynch</cp:lastModifiedBy>
  <cp:revision>2</cp:revision>
  <dcterms:created xsi:type="dcterms:W3CDTF">2018-03-22T22:49:00Z</dcterms:created>
  <dcterms:modified xsi:type="dcterms:W3CDTF">2018-03-22T22:49:00Z</dcterms:modified>
</cp:coreProperties>
</file>