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B39" w:rsidRDefault="00331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31310" w:rsidRDefault="00331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331310" w:rsidRDefault="00331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Pr="00E31B39" w:rsidRDefault="00E31B39" w:rsidP="00E31B39">
      <w:pPr>
        <w:tabs>
          <w:tab w:val="right" w:pos="5933"/>
        </w:tabs>
        <w:suppressAutoHyphens/>
      </w:pPr>
      <w:r>
        <w:tab/>
      </w:r>
      <w:r>
        <w:rPr>
          <w:b/>
          <w:sz w:val="36"/>
        </w:rPr>
        <w:t>H. 5154</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E3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7035">
        <w:t>Reps. Fry and Hewitt</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331310">
        <w:t>10</w:t>
      </w:r>
      <w:r>
        <w:t>/18--S.</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E31B39" w:rsidRPr="00E31B39" w:rsidRDefault="00E31B39" w:rsidP="00E3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1B39" w:rsidSect="003B47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C5" w:rsidRDefault="00137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71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REFERENDUM TO BE CONDUCTED BY THE HORRY COUNTY BOARD OF VOTER REGISTRATION AND ELECTIONS AT THE NEXT ELECTION FOR REPRESENTATIVES AMONG THE QUALIFIED ELECTORS OF A TERRITORY PROPOSED TO BE TAKEN FROM GEORGETOWN COUNTY AND GIVEN TO HORRY COUNTY PURSUANT TO SECTION 7, ARTICLE VII, CONSTITUTION OF SOUTH CAROLINA, 1895, PROVIDING IF APPROVED BY TWO</w:t>
      </w:r>
      <w:r>
        <w:noBreakHyphen/>
        <w:t>THIRDS OF THE VOTES CAST, THE GENERAL ASSEMBLY AT ITS NEXT SESSION SHALL PROVIDE BY LAW FOR THE ALTERATION OF THE HORRY</w:t>
      </w:r>
      <w:r>
        <w:noBreakHyphen/>
        <w:t>GEORGETOWN COUNTY LINE, AND PROVIDING THAT NOTWITHSTANDING ANOTHER PROVISION OF LAW, DURING THE PENDENCY OF THE OUTCOME OF THE REFERENDUM REQUIRED BY THIS JOINT RESOLUTION, IT IS THE GENERAL ASSEMBLY</w:t>
      </w:r>
      <w:r w:rsidRPr="00CE26AC">
        <w:t>’</w:t>
      </w:r>
      <w:r>
        <w:t>S INTENT NOT</w:t>
      </w:r>
      <w:r>
        <w:rPr>
          <w:color w:val="000000" w:themeColor="text1"/>
        </w:rPr>
        <w:t xml:space="preserve"> TO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PROVIDING FURTHER THAT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bookmarkEnd w:id="1"/>
    </w:p>
    <w:p w:rsidR="0010776B" w:rsidRDefault="00331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1310" w:rsidRDefault="00331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67430B"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W</w:t>
      </w:r>
      <w:r w:rsidRPr="0067430B">
        <w:t>hereas, as a result of the misunderstanding by Horry and Georgetown counties regarding the actual Horry</w:t>
      </w:r>
      <w:r>
        <w:noBreakHyphen/>
      </w:r>
      <w:r w:rsidRPr="0067430B">
        <w:t>Georgetown County line, there is an affected area within Georgetown County, consisting of at least one hundred ninety</w:t>
      </w:r>
      <w:r>
        <w:noBreakHyphen/>
      </w:r>
      <w:r w:rsidRPr="0067430B">
        <w:t>nine parcels, whose owners erroneously believe their properties are located in Horry County</w:t>
      </w:r>
      <w:r w:rsidRPr="003D7603">
        <w:t>;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pursuant to the South Carolina</w:t>
      </w:r>
      <w:r w:rsidRPr="003D7603">
        <w:t xml:space="preserve"> Code of Laws, </w:t>
      </w:r>
      <w:r>
        <w:t xml:space="preserve">1976, </w:t>
      </w:r>
      <w:r w:rsidRPr="003D7603">
        <w:t>the governing body of a county can by resolution require that part of such county be merged with an adjoining county;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Whereas, when presented with a resolution of annexation, the Governor shall appoint a commission to investigate all acts in relation to the potential annexation;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 xml:space="preserve">Whereas, certified </w:t>
      </w:r>
      <w:r>
        <w:t>plats of the affected area must</w:t>
      </w:r>
      <w:r w:rsidRPr="003D7603">
        <w:t xml:space="preserve"> be drawn and filed with the Secretary of State;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Whereas, upon completion of the commission</w:t>
      </w:r>
      <w:r w:rsidRPr="001C1F70">
        <w:t>’</w:t>
      </w:r>
      <w:r w:rsidRPr="003D7603">
        <w:t>s report, the Governor shall order an election in the area sought to be annexed and transferred;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Whereas the General Assembly upon receipt of the certified returns shall alter the lines in accordance with the request of two</w:t>
      </w:r>
      <w:r>
        <w:noBreakHyphen/>
      </w:r>
      <w:r w:rsidRPr="003D7603">
        <w:t>thirds of the qualified voters, Now, therefore,</w:t>
      </w:r>
    </w:p>
    <w:p w:rsidR="006157D3" w:rsidRDefault="0061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r>
      <w:r w:rsidRPr="001C1F70">
        <w:t>Upon receipt of resolutions by the governing bodies o</w:t>
      </w:r>
      <w:r>
        <w:t>f Horry and Georgetown Counties</w:t>
      </w:r>
      <w:r w:rsidRPr="001C1F70">
        <w:t xml:space="preserve"> to request the annexation of certain parcels of property mistakenly treated as in Horry County although statutorily defined as lying within Georgetown County, the Governor shall form a commission to comply with all applicable statutory requirements.</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C1F70">
        <w:t>SECTION</w:t>
      </w:r>
      <w:r w:rsidRPr="001C1F70">
        <w:tab/>
        <w:t>2.</w:t>
      </w:r>
      <w:r w:rsidRPr="001C1F70">
        <w:tab/>
        <w:t>Upon receipt of the commission’s report and compliance with all statutory requirements, an election must be ordered for all qualified voters in the affected area.</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C1F70">
        <w:t>SECTION</w:t>
      </w:r>
      <w:r w:rsidRPr="001C1F70">
        <w:tab/>
        <w:t>3.</w:t>
      </w:r>
      <w:r w:rsidRPr="001C1F70">
        <w:tab/>
        <w:t>If approved by two</w:t>
      </w:r>
      <w:r>
        <w:noBreakHyphen/>
      </w:r>
      <w:r w:rsidRPr="001C1F70">
        <w:t xml:space="preserve">thirds of the votes cast after submission of the question to the qualified electors of the affected territory proposed to be taken pursuant to SECTION 1, the General </w:t>
      </w:r>
      <w:r w:rsidRPr="001C1F70">
        <w:lastRenderedPageBreak/>
        <w:t>Assembly</w:t>
      </w:r>
      <w:r>
        <w:t>,</w:t>
      </w:r>
      <w:r w:rsidRPr="001C1F70">
        <w:t xml:space="preserve"> at its next session</w:t>
      </w:r>
      <w:r>
        <w:t>,</w:t>
      </w:r>
      <w:r w:rsidRPr="001C1F70">
        <w:t xml:space="preserve"> shall provide by law for the alteration of the Horry</w:t>
      </w:r>
      <w:r>
        <w:noBreakHyphen/>
      </w:r>
      <w:r w:rsidRPr="001C1F70">
        <w:t>Georgetown County line.</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1C1F70">
        <w:t>SECTION</w:t>
      </w:r>
      <w:r w:rsidRPr="001C1F70">
        <w:tab/>
        <w:t>4.</w:t>
      </w:r>
      <w:r w:rsidRPr="001C1F70">
        <w:tab/>
        <w:t>Notwithstanding another provision of law, during the pendency of the outcome of the referendum required by this joint resolution and any final action required of the General Assembly pursuant to SECTION 3, it is the General Assembly’s intent not to</w:t>
      </w:r>
      <w:r w:rsidRPr="001C1F70">
        <w:rPr>
          <w:color w:val="000000" w:themeColor="text1"/>
        </w:rPr>
        <w:t xml:space="preserve"> affect, alter, release, or extinguish any existing actions, rights, duties, practices, penalties, forfeitures, or liabilities resulting from </w:t>
      </w:r>
      <w:r w:rsidRPr="001C1F70">
        <w:t>Horry and Georgetown counties’ misinterpretation of the actual Horry</w:t>
      </w:r>
      <w:r>
        <w:noBreakHyphen/>
      </w:r>
      <w:r w:rsidRPr="001C1F70">
        <w:t>Georgetown County line as approved by the General Assembly and delineated in Chapter 3, Title 4, of the 1976 Code</w:t>
      </w:r>
      <w:r w:rsidRPr="001C1F70">
        <w:rPr>
          <w:color w:val="000000" w:themeColor="text1"/>
        </w:rPr>
        <w:t xml:space="preserve">, and had the General Assembly intended to affect, disturb, or disrupt the status quo regarding any of the foregoing </w:t>
      </w:r>
      <w:r w:rsidRPr="001C1F70">
        <w:t>during the pendency of the outcome of the referendum required by this joint resolution</w:t>
      </w:r>
      <w:r w:rsidRPr="001C1F70">
        <w:rPr>
          <w:color w:val="000000" w:themeColor="text1"/>
        </w:rPr>
        <w:t>, it so expressly would have provided.</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1C1F70">
        <w:rPr>
          <w:color w:val="000000" w:themeColor="text1"/>
        </w:rPr>
        <w:t>SECTION</w:t>
      </w:r>
      <w:r w:rsidRPr="001C1F70">
        <w:rPr>
          <w:color w:val="000000" w:themeColor="text1"/>
        </w:rPr>
        <w:tab/>
        <w:t>5.</w:t>
      </w:r>
      <w:r w:rsidRPr="001C1F70">
        <w:rPr>
          <w:color w:val="000000" w:themeColor="text1"/>
        </w:rPr>
        <w:tab/>
      </w:r>
      <w:r w:rsidRPr="001C1F70">
        <w:rPr>
          <w:color w:val="000000" w:themeColor="text1"/>
          <w:u w:color="000000" w:themeColor="text1"/>
        </w:rPr>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SECTION</w:t>
      </w:r>
      <w:r>
        <w:rPr>
          <w:color w:val="000000" w:themeColor="text1"/>
          <w:u w:color="000000" w:themeColor="text1"/>
        </w:rPr>
        <w:tab/>
        <w:t>6</w:t>
      </w:r>
      <w:r w:rsidRPr="001C1F70">
        <w:rPr>
          <w:color w:val="000000" w:themeColor="text1"/>
          <w:u w:color="000000" w:themeColor="text1"/>
        </w:rPr>
        <w:t>.</w:t>
      </w:r>
      <w:r w:rsidRPr="001C1F70">
        <w:rPr>
          <w:color w:val="000000" w:themeColor="text1"/>
          <w:u w:color="000000" w:themeColor="text1"/>
        </w:rPr>
        <w:tab/>
        <w:t>This joint resolution takes effect upon approval by the Governor.</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17" w:rsidRDefault="0010776B" w:rsidP="00E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F1317" w:rsidSect="003B47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D88" w:rsidRDefault="00712D88" w:rsidP="009F0C77">
      <w:r>
        <w:separator/>
      </w:r>
    </w:p>
  </w:endnote>
  <w:endnote w:type="continuationSeparator" w:id="0">
    <w:p w:rsidR="00712D88" w:rsidRDefault="0071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5A0AA7-A01F-4E41-9A21-96B568CB8E17}"/>
    <w:embedBold r:id="rId2" w:fontKey="{E7AA5B96-79F0-4643-B93D-58D1F3417D6A}"/>
  </w:font>
  <w:font w:name="Calibri">
    <w:panose1 w:val="020F0502020204030204"/>
    <w:charset w:val="00"/>
    <w:family w:val="swiss"/>
    <w:pitch w:val="variable"/>
    <w:sig w:usb0="E00002FF" w:usb1="4000ACFF" w:usb2="00000001" w:usb3="00000000" w:csb0="0000019F" w:csb1="00000000"/>
    <w:embedRegular r:id="rId3" w:fontKey="{02919CB3-D0DD-49EC-80C6-B9B0B43FA661}"/>
  </w:font>
  <w:font w:name="Segoe UI">
    <w:panose1 w:val="020B0502040204020203"/>
    <w:charset w:val="00"/>
    <w:family w:val="swiss"/>
    <w:pitch w:val="variable"/>
    <w:sig w:usb0="E10022FF" w:usb1="C000E47F" w:usb2="00000029" w:usb3="00000000" w:csb0="000001DF" w:csb1="00000000"/>
    <w:embedRegular r:id="rId4" w:fontKey="{BD691953-8EBC-495F-A540-7DE4CECCDBF7}"/>
  </w:font>
  <w:font w:name="Cambria">
    <w:panose1 w:val="02040503050406030204"/>
    <w:charset w:val="00"/>
    <w:family w:val="roman"/>
    <w:pitch w:val="variable"/>
    <w:sig w:usb0="E00002FF" w:usb1="400004FF" w:usb2="00000000" w:usb3="00000000" w:csb0="0000019F" w:csb1="00000000"/>
    <w:embedRegular r:id="rId5" w:fontKey="{D69E8803-B8C1-4595-9F9D-28C0C04306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C4" w:rsidRPr="00137FC5" w:rsidRDefault="00137FC5" w:rsidP="00137FC5">
    <w:pPr>
      <w:pStyle w:val="Footer"/>
      <w:tabs>
        <w:tab w:val="clear" w:pos="4680"/>
        <w:tab w:val="clear" w:pos="9360"/>
        <w:tab w:val="center" w:pos="2995"/>
      </w:tabs>
      <w:spacing w:before="120"/>
    </w:pPr>
    <w:r>
      <w:t>[5154</w:t>
    </w:r>
    <w:r w:rsidR="003B4739">
      <w:t>-</w:t>
    </w:r>
    <w:r w:rsidR="003B4739">
      <w:fldChar w:fldCharType="begin"/>
    </w:r>
    <w:r w:rsidR="003B4739">
      <w:instrText xml:space="preserve"> PAGE  \* MERGEFORMAT </w:instrText>
    </w:r>
    <w:r w:rsidR="003B4739">
      <w:fldChar w:fldCharType="separate"/>
    </w:r>
    <w:r w:rsidR="00B767E8">
      <w:rPr>
        <w:noProof/>
      </w:rPr>
      <w:t>1</w:t>
    </w:r>
    <w:r w:rsidR="003B4739">
      <w:fldChar w:fldCharType="end"/>
    </w:r>
    <w:r w:rsidR="003B47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39" w:rsidRPr="00137FC5" w:rsidRDefault="003B4739" w:rsidP="00137FC5">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EF13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D88" w:rsidRDefault="00712D88" w:rsidP="009F0C77">
      <w:r>
        <w:separator/>
      </w:r>
    </w:p>
  </w:footnote>
  <w:footnote w:type="continuationSeparator" w:id="0">
    <w:p w:rsidR="00712D88" w:rsidRDefault="0071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7ZW18"/>
    <w:docVar w:name="CoverBillType" w:val="b"/>
    <w:docVar w:name="DocPath" w:val="L:\Council\bills\GGS\22107ZW18.DOCX"/>
    <w:docVar w:name="dvBillNumber" w:val="5154"/>
    <w:docVar w:name="dvBillNumberPrefix" w:val="H. "/>
    <w:docVar w:name="dvOriginalBody" w:val="House"/>
    <w:docVar w:name="dvSteno" w:val="GGS"/>
    <w:docVar w:name="NameofBody" w:val="h"/>
    <w:docVar w:name="vGroup2" w:val="Council"/>
  </w:docVars>
  <w:rsids>
    <w:rsidRoot w:val="00712D88"/>
    <w:rsid w:val="00011869"/>
    <w:rsid w:val="00015CD6"/>
    <w:rsid w:val="00075E09"/>
    <w:rsid w:val="000E0100"/>
    <w:rsid w:val="000E1785"/>
    <w:rsid w:val="000F40FA"/>
    <w:rsid w:val="001035F1"/>
    <w:rsid w:val="0010776B"/>
    <w:rsid w:val="00133E66"/>
    <w:rsid w:val="00137FC5"/>
    <w:rsid w:val="001435A3"/>
    <w:rsid w:val="00146ED3"/>
    <w:rsid w:val="00151044"/>
    <w:rsid w:val="001D08F2"/>
    <w:rsid w:val="001D25F9"/>
    <w:rsid w:val="001D3A58"/>
    <w:rsid w:val="001D525B"/>
    <w:rsid w:val="001D7F4F"/>
    <w:rsid w:val="00205238"/>
    <w:rsid w:val="002321B6"/>
    <w:rsid w:val="00250967"/>
    <w:rsid w:val="002529C8"/>
    <w:rsid w:val="002543C8"/>
    <w:rsid w:val="0025541D"/>
    <w:rsid w:val="00284AAE"/>
    <w:rsid w:val="002E5912"/>
    <w:rsid w:val="00301B21"/>
    <w:rsid w:val="00325348"/>
    <w:rsid w:val="0032732C"/>
    <w:rsid w:val="00331310"/>
    <w:rsid w:val="00336AD0"/>
    <w:rsid w:val="0037079A"/>
    <w:rsid w:val="003B4739"/>
    <w:rsid w:val="003C4DAB"/>
    <w:rsid w:val="003D01E8"/>
    <w:rsid w:val="003E5288"/>
    <w:rsid w:val="003F6D79"/>
    <w:rsid w:val="0041760A"/>
    <w:rsid w:val="00417C01"/>
    <w:rsid w:val="004403BD"/>
    <w:rsid w:val="00461441"/>
    <w:rsid w:val="004809EE"/>
    <w:rsid w:val="004D038E"/>
    <w:rsid w:val="004E7D54"/>
    <w:rsid w:val="005273C6"/>
    <w:rsid w:val="00530A69"/>
    <w:rsid w:val="00545593"/>
    <w:rsid w:val="00556EBF"/>
    <w:rsid w:val="00577C6C"/>
    <w:rsid w:val="005A62FE"/>
    <w:rsid w:val="005C2FE2"/>
    <w:rsid w:val="005E2BC9"/>
    <w:rsid w:val="00605102"/>
    <w:rsid w:val="006157D3"/>
    <w:rsid w:val="006215AA"/>
    <w:rsid w:val="00621798"/>
    <w:rsid w:val="006913C9"/>
    <w:rsid w:val="0069470D"/>
    <w:rsid w:val="006D58AA"/>
    <w:rsid w:val="00712D88"/>
    <w:rsid w:val="00734F00"/>
    <w:rsid w:val="00751CFA"/>
    <w:rsid w:val="007A70AE"/>
    <w:rsid w:val="008249FC"/>
    <w:rsid w:val="008362E8"/>
    <w:rsid w:val="008371FD"/>
    <w:rsid w:val="0085786E"/>
    <w:rsid w:val="008A1768"/>
    <w:rsid w:val="008A489F"/>
    <w:rsid w:val="008F0F33"/>
    <w:rsid w:val="008F4429"/>
    <w:rsid w:val="0094021A"/>
    <w:rsid w:val="009A0506"/>
    <w:rsid w:val="009B44AF"/>
    <w:rsid w:val="009C6A0B"/>
    <w:rsid w:val="009F0C77"/>
    <w:rsid w:val="009F4DD1"/>
    <w:rsid w:val="00A02543"/>
    <w:rsid w:val="00A41684"/>
    <w:rsid w:val="00A64E80"/>
    <w:rsid w:val="00A70DC4"/>
    <w:rsid w:val="00A72BCD"/>
    <w:rsid w:val="00A741D9"/>
    <w:rsid w:val="00A833AB"/>
    <w:rsid w:val="00A9741D"/>
    <w:rsid w:val="00AC34A2"/>
    <w:rsid w:val="00AD1C9A"/>
    <w:rsid w:val="00AD4B17"/>
    <w:rsid w:val="00B412D4"/>
    <w:rsid w:val="00B767E8"/>
    <w:rsid w:val="00BE3C22"/>
    <w:rsid w:val="00C0345E"/>
    <w:rsid w:val="00C31C95"/>
    <w:rsid w:val="00C3483A"/>
    <w:rsid w:val="00C73BFA"/>
    <w:rsid w:val="00C74E9D"/>
    <w:rsid w:val="00C826DD"/>
    <w:rsid w:val="00C82FD3"/>
    <w:rsid w:val="00C92819"/>
    <w:rsid w:val="00CC6B7B"/>
    <w:rsid w:val="00CD2089"/>
    <w:rsid w:val="00D73A67"/>
    <w:rsid w:val="00D970A9"/>
    <w:rsid w:val="00DF3845"/>
    <w:rsid w:val="00E31B39"/>
    <w:rsid w:val="00E41911"/>
    <w:rsid w:val="00E44B57"/>
    <w:rsid w:val="00E92EEF"/>
    <w:rsid w:val="00EF1317"/>
    <w:rsid w:val="00EF2368"/>
    <w:rsid w:val="00F24442"/>
    <w:rsid w:val="00F50AE3"/>
    <w:rsid w:val="00F60BA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7DE6-2759-4280-81B7-25CAAC31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FAF26-72AB-423F-A3EA-F4D0DCD1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37E117D.dotm</Template>
  <TotalTime>0</TotalTime>
  <Pages>4</Pages>
  <Words>791</Words>
  <Characters>4348</Characters>
  <Application>Microsoft Office Word</Application>
  <DocSecurity>0</DocSecurity>
  <Lines>130</Lines>
  <Paragraphs>23</Paragraphs>
  <ScaleCrop>false</ScaleCrop>
  <HeadingPairs>
    <vt:vector size="2" baseType="variant">
      <vt:variant>
        <vt:lpstr>Title</vt:lpstr>
      </vt:variant>
      <vt:variant>
        <vt:i4>1</vt:i4>
      </vt:variant>
    </vt:vector>
  </HeadingPairs>
  <TitlesOfParts>
    <vt:vector size="1" baseType="lpstr">
      <vt:lpstr>2017-2018 Bill 5154: Subject not yet available - South Carolina Legislature Online</vt:lpstr>
    </vt:vector>
  </TitlesOfParts>
  <Company>LPITS</Company>
  <LinksUpToDate>false</LinksUpToDate>
  <CharactersWithSpaces>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5154 Text of Previous Version (Apr. 10, 2018) - South Carolina Legislature Online</dc:title>
  <dc:creator>GloriaShackelford</dc:creator>
  <cp:lastModifiedBy>Brent Walling</cp:lastModifiedBy>
  <cp:revision>2</cp:revision>
  <cp:lastPrinted>2018-04-10T14:38:00Z</cp:lastPrinted>
  <dcterms:created xsi:type="dcterms:W3CDTF">2018-04-10T21:25:00Z</dcterms:created>
  <dcterms:modified xsi:type="dcterms:W3CDTF">2018-04-10T21:25:00Z</dcterms:modified>
</cp:coreProperties>
</file>