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2FF" w:rsidRDefault="00ED02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B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5733B">
        <w:noBreakHyphen/>
      </w:r>
      <w:r>
        <w:t>5</w:t>
      </w:r>
      <w:r w:rsidR="0025733B">
        <w:noBreakHyphen/>
      </w:r>
      <w:r>
        <w:t xml:space="preserve">4830, CODE OF LAWS OF SOUTH CAROLINA, 1976, RELATING TO THE RESTRICTIONS PLACED ON THE TYPES OF LAMPS OR ILLUMINATING DEVICES THAT MAY BE INSTALLED ON A VEHICLE, SO AS TO PROVIDE THAT A VEHICLE MAY NOT BE EQUIPPED WITH CERTAIN SIGNS, SCREENS, OR OTHER DEVICES THAT UTILIZE AN ELECTRONIC </w:t>
      </w:r>
      <w:r w:rsidR="003D185E">
        <w:t xml:space="preserve">OR REMOTE </w:t>
      </w:r>
      <w:r w:rsidR="0025733B">
        <w:t>MEANS TO DISPLAY</w:t>
      </w:r>
      <w:r>
        <w:t xml:space="preserve"> INTERMIT</w:t>
      </w:r>
      <w:r w:rsidR="0025733B">
        <w:t>TENT</w:t>
      </w:r>
      <w:r>
        <w:t>, CHANGING, OR FLASHING LIGHTS OR COLORS.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60A6">
        <w:t>Section 56</w:t>
      </w:r>
      <w:r w:rsidR="0025733B">
        <w:noBreakHyphen/>
      </w:r>
      <w:r w:rsidR="003960A6">
        <w:t>5</w:t>
      </w:r>
      <w:r w:rsidR="0025733B">
        <w:noBreakHyphen/>
      </w:r>
      <w:r w:rsidR="003960A6">
        <w:t>4830 of the 1976 Code is amended to read:</w:t>
      </w:r>
    </w:p>
    <w:p w:rsidR="003960A6" w:rsidRDefault="00396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0A6" w:rsidRDefault="003960A6" w:rsidP="0039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F12BF">
        <w:t>Section 56</w:t>
      </w:r>
      <w:r w:rsidR="0025733B">
        <w:noBreakHyphen/>
      </w:r>
      <w:r w:rsidR="006F12BF">
        <w:t>5</w:t>
      </w:r>
      <w:r w:rsidR="0025733B">
        <w:noBreakHyphen/>
      </w:r>
      <w:r w:rsidR="006F12BF">
        <w:t>4830.</w:t>
      </w:r>
      <w:r w:rsidR="006F12BF">
        <w:tab/>
      </w:r>
      <w:r w:rsidRPr="00BE6659">
        <w:t>Any lighted lamp or illuminating device upon a motor vehicle, other than head lamps, spot lamps, auxiliary lamps, flashing turn signals, emergency vehicle warning lamps, and school bus warning lamps, which project a beam of light of an intensity greater than three hundred candlepower shall be so directed that no part of the high intensity portion of the beam will strike the level of the roadway on which the vehicle stands at a distance of more than seventy</w:t>
      </w:r>
      <w:r w:rsidR="0025733B">
        <w:noBreakHyphen/>
      </w:r>
      <w:r w:rsidRPr="00BE6659">
        <w:t>five feet from the vehicle.</w:t>
      </w:r>
    </w:p>
    <w:p w:rsidR="003960A6" w:rsidRDefault="003960A6" w:rsidP="0039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A person shall not drive, move, or park any vehicle or equipment upon a highway with a lamp or device on it displaying a red or blue light visible from directly in front of the center of it. This section shall not apply to a vehicle upon which a red or blue light visible from the front is expressly authorized or required by this chapter.</w:t>
      </w:r>
    </w:p>
    <w:p w:rsidR="003960A6" w:rsidRDefault="003960A6" w:rsidP="0039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6659">
        <w:tab/>
        <w:t>Flashing lights are prohibited except on an authorized emergency vehicle, school bus, snow</w:t>
      </w:r>
      <w:r w:rsidR="0025733B">
        <w:noBreakHyphen/>
      </w:r>
      <w:r w:rsidRPr="00BE6659">
        <w:t xml:space="preserve">removal equipment, or on any vehicle as a means of indicating a right or left turn or the presence of a </w:t>
      </w:r>
      <w:r w:rsidRPr="00BE6659">
        <w:lastRenderedPageBreak/>
        <w:t>vehicular traffic hazard requiring unusual care in approaching, overtaking, or passing.</w:t>
      </w:r>
    </w:p>
    <w:p w:rsidR="00C43947" w:rsidRPr="005836CD" w:rsidRDefault="003960A6"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43947" w:rsidRPr="005836CD">
        <w:rPr>
          <w:color w:val="000000" w:themeColor="text1"/>
          <w:u w:val="single" w:color="000000" w:themeColor="text1"/>
        </w:rPr>
        <w:t>To prevent danger to the motoring public and standardize consistency in the use of</w:t>
      </w:r>
      <w:r w:rsidR="00C43947">
        <w:rPr>
          <w:color w:val="000000" w:themeColor="text1"/>
          <w:u w:val="single" w:color="000000" w:themeColor="text1"/>
        </w:rPr>
        <w:t xml:space="preserve"> vehicle lighting, this section</w:t>
      </w:r>
      <w:r w:rsidR="00C43947" w:rsidRPr="005836CD">
        <w:rPr>
          <w:color w:val="000000" w:themeColor="text1"/>
          <w:u w:val="single" w:color="000000" w:themeColor="text1"/>
        </w:rPr>
        <w:t xml:space="preserve"> prohibits a vehicle on a highway, except as otherwise permitted, from displaying </w:t>
      </w:r>
      <w:r w:rsidR="00C43947">
        <w:rPr>
          <w:color w:val="000000" w:themeColor="text1"/>
          <w:u w:val="single" w:color="000000" w:themeColor="text1"/>
        </w:rPr>
        <w:t xml:space="preserve">to the motoring public, </w:t>
      </w:r>
      <w:r w:rsidR="00C43947" w:rsidRPr="005836CD">
        <w:rPr>
          <w:color w:val="000000" w:themeColor="text1"/>
          <w:u w:val="single" w:color="000000" w:themeColor="text1"/>
        </w:rPr>
        <w:t>upon or as a part of the vehicle</w:t>
      </w:r>
      <w:r w:rsidR="00C43947">
        <w:rPr>
          <w:color w:val="000000" w:themeColor="text1"/>
          <w:u w:val="single" w:color="000000" w:themeColor="text1"/>
        </w:rPr>
        <w:t xml:space="preserve"> a digital or electronic</w:t>
      </w:r>
      <w:r w:rsidR="00C43947" w:rsidRPr="005836CD">
        <w:rPr>
          <w:color w:val="000000" w:themeColor="text1"/>
          <w:u w:val="single" w:color="000000" w:themeColor="text1"/>
        </w:rPr>
        <w:t>:</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val="single" w:color="000000" w:themeColor="text1"/>
        </w:rPr>
        <w:t>(1)</w:t>
      </w:r>
      <w:r w:rsidRPr="005836CD">
        <w:rPr>
          <w:color w:val="000000" w:themeColor="text1"/>
          <w:u w:color="000000" w:themeColor="text1"/>
        </w:rPr>
        <w:tab/>
      </w:r>
      <w:r w:rsidRPr="005836CD">
        <w:rPr>
          <w:color w:val="000000" w:themeColor="text1"/>
          <w:u w:val="single" w:color="000000" w:themeColor="text1"/>
        </w:rPr>
        <w:t>sign</w:t>
      </w:r>
      <w:r>
        <w:rPr>
          <w:color w:val="000000" w:themeColor="text1"/>
          <w:u w:val="single" w:color="000000" w:themeColor="text1"/>
        </w:rPr>
        <w:t xml:space="preserve"> or sign structure</w:t>
      </w:r>
      <w:r w:rsidRPr="005836CD">
        <w:rPr>
          <w:color w:val="000000" w:themeColor="text1"/>
          <w:u w:val="single" w:color="000000" w:themeColor="text1"/>
        </w:rPr>
        <w:t>;</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val="single" w:color="000000" w:themeColor="text1"/>
        </w:rPr>
        <w:t>(2)</w:t>
      </w:r>
      <w:r w:rsidRPr="005836CD">
        <w:rPr>
          <w:color w:val="000000" w:themeColor="text1"/>
          <w:u w:color="000000" w:themeColor="text1"/>
        </w:rPr>
        <w:tab/>
      </w:r>
      <w:r w:rsidRPr="005836CD">
        <w:rPr>
          <w:color w:val="000000" w:themeColor="text1"/>
          <w:u w:val="single" w:color="000000" w:themeColor="text1"/>
        </w:rPr>
        <w:t>screen; or</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val="single" w:color="000000" w:themeColor="text1"/>
        </w:rPr>
        <w:t>(3)</w:t>
      </w:r>
      <w:r w:rsidRPr="005836CD">
        <w:rPr>
          <w:color w:val="000000" w:themeColor="text1"/>
          <w:u w:color="000000" w:themeColor="text1"/>
        </w:rPr>
        <w:tab/>
      </w:r>
      <w:r w:rsidRPr="005836CD">
        <w:rPr>
          <w:color w:val="000000" w:themeColor="text1"/>
          <w:u w:val="single" w:color="000000" w:themeColor="text1"/>
        </w:rPr>
        <w:t>other device</w:t>
      </w:r>
      <w:r>
        <w:rPr>
          <w:color w:val="000000" w:themeColor="text1"/>
          <w:u w:val="single" w:color="000000" w:themeColor="text1"/>
        </w:rPr>
        <w:t>,</w:t>
      </w:r>
      <w:r w:rsidRPr="005836CD">
        <w:rPr>
          <w:color w:val="000000" w:themeColor="text1"/>
          <w:u w:val="single" w:color="000000" w:themeColor="text1"/>
        </w:rPr>
        <w:t xml:space="preserve"> regardless of content, that utilizes an electronic or remote means to display:</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color="000000" w:themeColor="text1"/>
        </w:rPr>
        <w:tab/>
      </w:r>
      <w:r w:rsidRPr="005836CD">
        <w:rPr>
          <w:color w:val="000000" w:themeColor="text1"/>
          <w:u w:val="single" w:color="000000" w:themeColor="text1"/>
        </w:rPr>
        <w:t>(a)</w:t>
      </w:r>
      <w:r w:rsidRPr="005836CD">
        <w:rPr>
          <w:color w:val="000000" w:themeColor="text1"/>
          <w:u w:color="000000" w:themeColor="text1"/>
        </w:rPr>
        <w:tab/>
      </w:r>
      <w:r w:rsidR="0025733B">
        <w:rPr>
          <w:color w:val="000000" w:themeColor="text1"/>
          <w:u w:val="single" w:color="000000" w:themeColor="text1"/>
        </w:rPr>
        <w:t>intermittent;</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color="000000" w:themeColor="text1"/>
        </w:rPr>
        <w:tab/>
      </w:r>
      <w:r w:rsidRPr="005836CD">
        <w:rPr>
          <w:color w:val="000000" w:themeColor="text1"/>
          <w:u w:val="single" w:color="000000" w:themeColor="text1"/>
        </w:rPr>
        <w:t>(b)</w:t>
      </w:r>
      <w:r w:rsidRPr="005836CD">
        <w:rPr>
          <w:color w:val="000000" w:themeColor="text1"/>
          <w:u w:color="000000" w:themeColor="text1"/>
        </w:rPr>
        <w:tab/>
      </w:r>
      <w:r w:rsidR="0025733B">
        <w:rPr>
          <w:color w:val="000000" w:themeColor="text1"/>
          <w:u w:val="single" w:color="000000" w:themeColor="text1"/>
        </w:rPr>
        <w:t>changing;</w:t>
      </w:r>
      <w:r w:rsidRPr="005836CD">
        <w:rPr>
          <w:color w:val="000000" w:themeColor="text1"/>
          <w:u w:val="single" w:color="000000" w:themeColor="text1"/>
        </w:rPr>
        <w:t xml:space="preserve"> or</w:t>
      </w:r>
    </w:p>
    <w:p w:rsidR="00C43947" w:rsidRPr="002F2302"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6CD">
        <w:rPr>
          <w:color w:val="000000" w:themeColor="text1"/>
          <w:u w:color="000000" w:themeColor="text1"/>
        </w:rPr>
        <w:tab/>
      </w:r>
      <w:r w:rsidRPr="005836CD">
        <w:rPr>
          <w:color w:val="000000" w:themeColor="text1"/>
          <w:u w:color="000000" w:themeColor="text1"/>
        </w:rPr>
        <w:tab/>
      </w:r>
      <w:r w:rsidRPr="005836CD">
        <w:rPr>
          <w:color w:val="000000" w:themeColor="text1"/>
          <w:u w:val="single" w:color="000000" w:themeColor="text1"/>
        </w:rPr>
        <w:t>(c)</w:t>
      </w:r>
      <w:r w:rsidRPr="005836CD">
        <w:rPr>
          <w:color w:val="000000" w:themeColor="text1"/>
          <w:u w:color="000000" w:themeColor="text1"/>
        </w:rPr>
        <w:tab/>
      </w:r>
      <w:r w:rsidRPr="005836CD">
        <w:rPr>
          <w:color w:val="000000" w:themeColor="text1"/>
          <w:u w:val="single" w:color="000000" w:themeColor="text1"/>
        </w:rPr>
        <w:t>flashing</w:t>
      </w:r>
      <w:r>
        <w:rPr>
          <w:color w:val="000000" w:themeColor="text1"/>
          <w:u w:val="single" w:color="000000" w:themeColor="text1"/>
        </w:rPr>
        <w:t xml:space="preserve"> </w:t>
      </w:r>
      <w:r w:rsidRPr="005836CD">
        <w:rPr>
          <w:color w:val="000000" w:themeColor="text1"/>
          <w:u w:val="single" w:color="000000" w:themeColor="text1"/>
        </w:rPr>
        <w:t>lights</w:t>
      </w:r>
      <w:r>
        <w:rPr>
          <w:color w:val="000000" w:themeColor="text1"/>
          <w:u w:val="single" w:color="000000" w:themeColor="text1"/>
        </w:rPr>
        <w:t>,</w:t>
      </w:r>
      <w:r w:rsidRPr="005836CD">
        <w:rPr>
          <w:color w:val="000000" w:themeColor="text1"/>
          <w:u w:val="single" w:color="000000" w:themeColor="text1"/>
        </w:rPr>
        <w:t xml:space="preserve"> colors, </w:t>
      </w:r>
      <w:r>
        <w:rPr>
          <w:color w:val="000000" w:themeColor="text1"/>
          <w:u w:val="single" w:color="000000" w:themeColor="text1"/>
        </w:rPr>
        <w:t xml:space="preserve">or video content, </w:t>
      </w:r>
      <w:r w:rsidRPr="005836CD">
        <w:rPr>
          <w:color w:val="000000" w:themeColor="text1"/>
          <w:u w:val="single" w:color="000000" w:themeColor="text1"/>
        </w:rPr>
        <w:t>including but not limited to</w:t>
      </w:r>
      <w:r>
        <w:rPr>
          <w:color w:val="000000" w:themeColor="text1"/>
          <w:u w:val="single" w:color="000000" w:themeColor="text1"/>
        </w:rPr>
        <w:t>,</w:t>
      </w:r>
      <w:r w:rsidRPr="005836CD">
        <w:rPr>
          <w:color w:val="000000" w:themeColor="text1"/>
          <w:u w:val="single" w:color="000000" w:themeColor="text1"/>
        </w:rPr>
        <w:t xml:space="preserve"> a series of images or written messages.</w:t>
      </w:r>
      <w:r w:rsidRPr="002F2302">
        <w:rPr>
          <w:color w:val="000000" w:themeColor="text1"/>
          <w:u w:color="000000" w:themeColor="text1"/>
        </w:rPr>
        <w:t>”</w:t>
      </w: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5F2E">
        <w:t>2</w:t>
      </w:r>
      <w:r>
        <w:t>.</w:t>
      </w:r>
      <w:r>
        <w:tab/>
        <w:t>This act takes effect upon approval by the Governor.</w:t>
      </w:r>
    </w:p>
    <w:p w:rsidR="00AB21AA" w:rsidRDefault="00257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2FF" w:rsidRDefault="00ED02FF" w:rsidP="00ED02FF">
      <w:pPr>
        <w:suppressAutoHyphens/>
      </w:pPr>
    </w:p>
    <w:sectPr w:rsidR="00ED02FF" w:rsidSect="00ED02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947" w:rsidRDefault="00C43947" w:rsidP="009F0C77">
      <w:r>
        <w:separator/>
      </w:r>
    </w:p>
  </w:endnote>
  <w:endnote w:type="continuationSeparator" w:id="0">
    <w:p w:rsidR="00C43947" w:rsidRDefault="00C439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2C08CA-BF43-4F9C-89B7-32FBB76A8E83}"/>
    <w:embedBold r:id="rId2" w:fontKey="{A92BA61F-B15A-40F1-94EF-69F8B1C72465}"/>
  </w:font>
  <w:font w:name="Calibri">
    <w:panose1 w:val="020F0502020204030204"/>
    <w:charset w:val="00"/>
    <w:family w:val="swiss"/>
    <w:pitch w:val="variable"/>
    <w:sig w:usb0="E00002FF" w:usb1="4000ACFF" w:usb2="00000001" w:usb3="00000000" w:csb0="0000019F" w:csb1="00000000"/>
    <w:embedRegular r:id="rId3" w:fontKey="{1FFDCD7E-8C0F-4C08-B974-A1FE50110E4B}"/>
  </w:font>
  <w:font w:name="Segoe UI">
    <w:panose1 w:val="020B0502040204020203"/>
    <w:charset w:val="00"/>
    <w:family w:val="swiss"/>
    <w:pitch w:val="variable"/>
    <w:sig w:usb0="E10022FF" w:usb1="C000E47F" w:usb2="00000029" w:usb3="00000000" w:csb0="000001DF" w:csb1="00000000"/>
    <w:embedRegular r:id="rId4" w:fontKey="{B71AB160-E1EB-40DA-9B6F-1C8AD67FFD3C}"/>
  </w:font>
  <w:font w:name="Cambria">
    <w:panose1 w:val="02040503050406030204"/>
    <w:charset w:val="00"/>
    <w:family w:val="roman"/>
    <w:pitch w:val="variable"/>
    <w:sig w:usb0="E00002FF" w:usb1="400004FF" w:usb2="00000000" w:usb3="00000000" w:csb0="0000019F" w:csb1="00000000"/>
    <w:embedRegular r:id="rId5" w:fontKey="{CDAD74DE-38C9-4958-8150-B2780DD76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1AA" w:rsidRPr="00ED02FF" w:rsidRDefault="00ED02FF" w:rsidP="00ED02FF">
    <w:pPr>
      <w:pStyle w:val="Footer"/>
      <w:tabs>
        <w:tab w:val="clear" w:pos="4680"/>
        <w:tab w:val="clear" w:pos="9360"/>
        <w:tab w:val="center" w:pos="2995"/>
      </w:tabs>
      <w:spacing w:before="120"/>
    </w:pPr>
    <w:r>
      <w:t>[5173]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947" w:rsidRDefault="00C43947" w:rsidP="009F0C77">
      <w:r>
        <w:separator/>
      </w:r>
    </w:p>
  </w:footnote>
  <w:footnote w:type="continuationSeparator" w:id="0">
    <w:p w:rsidR="00C43947" w:rsidRDefault="00C439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6CM18"/>
    <w:docVar w:name="CoverBillType" w:val="b"/>
    <w:docVar w:name="DocPath" w:val="L:\Council\bills\GT\5496CM18.DOCX"/>
    <w:docVar w:name="dvBillNumber" w:val="5173"/>
    <w:docVar w:name="dvBillNumberPrefix" w:val="H. "/>
    <w:docVar w:name="dvOriginalBody" w:val="House"/>
    <w:docVar w:name="dvSteno" w:val="GT"/>
    <w:docVar w:name="NameofBody" w:val="h"/>
    <w:docVar w:name="vGroup2" w:val="Council"/>
  </w:docVars>
  <w:rsids>
    <w:rsidRoot w:val="00B44BED"/>
    <w:rsid w:val="00011869"/>
    <w:rsid w:val="00015CD6"/>
    <w:rsid w:val="000431A2"/>
    <w:rsid w:val="000E0100"/>
    <w:rsid w:val="000E1785"/>
    <w:rsid w:val="000F40FA"/>
    <w:rsid w:val="001035F1"/>
    <w:rsid w:val="0010776B"/>
    <w:rsid w:val="00133E66"/>
    <w:rsid w:val="001435A3"/>
    <w:rsid w:val="00146ED3"/>
    <w:rsid w:val="00151044"/>
    <w:rsid w:val="0016309B"/>
    <w:rsid w:val="001D08F2"/>
    <w:rsid w:val="001D3A58"/>
    <w:rsid w:val="001D525B"/>
    <w:rsid w:val="001D7F4F"/>
    <w:rsid w:val="00205238"/>
    <w:rsid w:val="002321B6"/>
    <w:rsid w:val="00250967"/>
    <w:rsid w:val="002543C8"/>
    <w:rsid w:val="0025541D"/>
    <w:rsid w:val="0025733B"/>
    <w:rsid w:val="00284AAE"/>
    <w:rsid w:val="002E5912"/>
    <w:rsid w:val="002F2302"/>
    <w:rsid w:val="00301B21"/>
    <w:rsid w:val="00325348"/>
    <w:rsid w:val="0032732C"/>
    <w:rsid w:val="00336AD0"/>
    <w:rsid w:val="0037079A"/>
    <w:rsid w:val="003960A6"/>
    <w:rsid w:val="003C4DAB"/>
    <w:rsid w:val="003D01E8"/>
    <w:rsid w:val="003D185E"/>
    <w:rsid w:val="003E5288"/>
    <w:rsid w:val="003F6D79"/>
    <w:rsid w:val="0041760A"/>
    <w:rsid w:val="00417C01"/>
    <w:rsid w:val="004403BD"/>
    <w:rsid w:val="00461441"/>
    <w:rsid w:val="004809EE"/>
    <w:rsid w:val="004E7D54"/>
    <w:rsid w:val="005273C6"/>
    <w:rsid w:val="00530A69"/>
    <w:rsid w:val="00545593"/>
    <w:rsid w:val="00556EBF"/>
    <w:rsid w:val="00565F2E"/>
    <w:rsid w:val="00577C6C"/>
    <w:rsid w:val="005A62FE"/>
    <w:rsid w:val="005C2FE2"/>
    <w:rsid w:val="005E2BC9"/>
    <w:rsid w:val="00605102"/>
    <w:rsid w:val="006215AA"/>
    <w:rsid w:val="006913C9"/>
    <w:rsid w:val="0069470D"/>
    <w:rsid w:val="006D58AA"/>
    <w:rsid w:val="006F12BF"/>
    <w:rsid w:val="00734F00"/>
    <w:rsid w:val="007A70AE"/>
    <w:rsid w:val="008362E8"/>
    <w:rsid w:val="0085786E"/>
    <w:rsid w:val="008A1768"/>
    <w:rsid w:val="008A489F"/>
    <w:rsid w:val="008F0F33"/>
    <w:rsid w:val="008F4429"/>
    <w:rsid w:val="0094021A"/>
    <w:rsid w:val="009439D8"/>
    <w:rsid w:val="009B44AF"/>
    <w:rsid w:val="009C6A0B"/>
    <w:rsid w:val="009F0C77"/>
    <w:rsid w:val="009F4DD1"/>
    <w:rsid w:val="00A02543"/>
    <w:rsid w:val="00A41684"/>
    <w:rsid w:val="00A64E80"/>
    <w:rsid w:val="00A72BCD"/>
    <w:rsid w:val="00A741D9"/>
    <w:rsid w:val="00A833AB"/>
    <w:rsid w:val="00A9741D"/>
    <w:rsid w:val="00AB21AA"/>
    <w:rsid w:val="00AC34A2"/>
    <w:rsid w:val="00AD1C9A"/>
    <w:rsid w:val="00AD4B17"/>
    <w:rsid w:val="00B412D4"/>
    <w:rsid w:val="00B44BED"/>
    <w:rsid w:val="00B70ECA"/>
    <w:rsid w:val="00BE3C22"/>
    <w:rsid w:val="00C0345E"/>
    <w:rsid w:val="00C31C95"/>
    <w:rsid w:val="00C3483A"/>
    <w:rsid w:val="00C43947"/>
    <w:rsid w:val="00C74E9D"/>
    <w:rsid w:val="00C826DD"/>
    <w:rsid w:val="00C82FD3"/>
    <w:rsid w:val="00C92819"/>
    <w:rsid w:val="00CC6B7B"/>
    <w:rsid w:val="00CD2089"/>
    <w:rsid w:val="00CE3D89"/>
    <w:rsid w:val="00D73A67"/>
    <w:rsid w:val="00D970A9"/>
    <w:rsid w:val="00DF3845"/>
    <w:rsid w:val="00E41911"/>
    <w:rsid w:val="00E44B57"/>
    <w:rsid w:val="00E92EEF"/>
    <w:rsid w:val="00ED02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F7729-911A-4D95-8F19-CB372EE3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1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C4E79-7823-43A4-8FAC-2418775C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2</Pages>
  <Words>391</Words>
  <Characters>1920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5173 Text of Previous Version (Mar. 21, 2018) - South Carolina Legislature Online</dc:title>
  <dc:creator>Gwen Thurmond</dc:creator>
  <cp:lastModifiedBy>S Volk</cp:lastModifiedBy>
  <cp:revision>2</cp:revision>
  <cp:lastPrinted>2018-03-20T15:44:00Z</cp:lastPrinted>
  <dcterms:created xsi:type="dcterms:W3CDTF">2018-03-21T17:36:00Z</dcterms:created>
  <dcterms:modified xsi:type="dcterms:W3CDTF">2018-03-21T17:36:00Z</dcterms:modified>
</cp:coreProperties>
</file>