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3B8" w:rsidRDefault="00F243B8" w:rsidP="00F243B8">
      <w:pPr>
        <w:widowControl w:val="0"/>
        <w:jc w:val="center"/>
      </w:pPr>
      <w:r w:rsidRPr="00F243B8">
        <w:rPr>
          <w:b/>
        </w:rPr>
        <w:t>South Carolina General Assembly</w:t>
      </w:r>
    </w:p>
    <w:p w:rsidR="00F243B8" w:rsidRDefault="00F243B8" w:rsidP="00F243B8">
      <w:pPr>
        <w:widowControl w:val="0"/>
        <w:jc w:val="center"/>
      </w:pPr>
      <w:r>
        <w:t>123rd Session, 2019-2020</w:t>
      </w:r>
    </w:p>
    <w:p w:rsidR="00F243B8" w:rsidRDefault="00F243B8" w:rsidP="00F243B8">
      <w:pPr>
        <w:widowControl w:val="0"/>
        <w:jc w:val="left"/>
      </w:pPr>
    </w:p>
    <w:p w:rsidR="00F243B8" w:rsidRDefault="00F243B8" w:rsidP="00F243B8">
      <w:pPr>
        <w:widowControl w:val="0"/>
        <w:jc w:val="left"/>
        <w:rPr>
          <w:b/>
        </w:rPr>
      </w:pPr>
      <w:r w:rsidRPr="00F243B8">
        <w:rPr>
          <w:b/>
        </w:rPr>
        <w:t>S.</w:t>
      </w:r>
      <w:r>
        <w:rPr>
          <w:b/>
        </w:rPr>
        <w:t xml:space="preserve"> </w:t>
      </w:r>
      <w:r w:rsidRPr="00F243B8">
        <w:rPr>
          <w:b/>
        </w:rPr>
        <w:t>1160</w:t>
      </w:r>
    </w:p>
    <w:p w:rsidR="00F243B8" w:rsidRDefault="00F243B8" w:rsidP="00F243B8">
      <w:pPr>
        <w:widowControl w:val="0"/>
        <w:jc w:val="left"/>
        <w:rPr>
          <w:b/>
        </w:rPr>
      </w:pPr>
    </w:p>
    <w:p w:rsidR="00F243B8" w:rsidRDefault="00F243B8" w:rsidP="00F243B8">
      <w:pPr>
        <w:widowControl w:val="0"/>
        <w:jc w:val="left"/>
      </w:pPr>
      <w:r w:rsidRPr="00F243B8">
        <w:rPr>
          <w:b/>
        </w:rPr>
        <w:t>STATUS INFORMATION</w:t>
      </w:r>
    </w:p>
    <w:p w:rsidR="00F243B8" w:rsidRDefault="00F243B8" w:rsidP="00F243B8">
      <w:pPr>
        <w:widowControl w:val="0"/>
        <w:jc w:val="left"/>
      </w:pPr>
    </w:p>
    <w:p w:rsidR="00F243B8" w:rsidRDefault="00F243B8" w:rsidP="00F243B8">
      <w:pPr>
        <w:widowControl w:val="0"/>
        <w:jc w:val="left"/>
      </w:pPr>
      <w:r>
        <w:t>General Bill</w:t>
      </w:r>
    </w:p>
    <w:p w:rsidR="00F243B8" w:rsidRDefault="00F243B8" w:rsidP="00F243B8">
      <w:pPr>
        <w:widowControl w:val="0"/>
        <w:jc w:val="left"/>
      </w:pPr>
      <w:r>
        <w:t>Sponsors: Senators Harpootlian and Climer</w:t>
      </w:r>
    </w:p>
    <w:p w:rsidR="00F243B8" w:rsidRDefault="00F243B8" w:rsidP="00F243B8">
      <w:pPr>
        <w:widowControl w:val="0"/>
        <w:jc w:val="left"/>
      </w:pPr>
      <w:r>
        <w:t>Document Path: l:\council\bills\rt\17740sa20.docx</w:t>
      </w:r>
    </w:p>
    <w:p w:rsidR="00F243B8" w:rsidRDefault="00F243B8" w:rsidP="00F243B8">
      <w:pPr>
        <w:widowControl w:val="0"/>
        <w:jc w:val="left"/>
      </w:pPr>
    </w:p>
    <w:p w:rsidR="00F243B8" w:rsidRDefault="00F243B8" w:rsidP="00F243B8">
      <w:pPr>
        <w:widowControl w:val="0"/>
        <w:jc w:val="left"/>
      </w:pPr>
      <w:r>
        <w:t>Introduced in the Senate on March 10, 2020</w:t>
      </w:r>
    </w:p>
    <w:p w:rsidR="00F243B8" w:rsidRDefault="00F243B8" w:rsidP="00F243B8">
      <w:pPr>
        <w:widowControl w:val="0"/>
        <w:jc w:val="left"/>
      </w:pPr>
      <w:r>
        <w:t xml:space="preserve">Currently residing in the Senate Committee on </w:t>
      </w:r>
      <w:r w:rsidRPr="00F243B8">
        <w:rPr>
          <w:b/>
        </w:rPr>
        <w:t>Finance</w:t>
      </w:r>
    </w:p>
    <w:p w:rsidR="00F243B8" w:rsidRDefault="00F243B8" w:rsidP="00F243B8">
      <w:pPr>
        <w:widowControl w:val="0"/>
        <w:jc w:val="left"/>
      </w:pPr>
    </w:p>
    <w:p w:rsidR="00F243B8" w:rsidRDefault="00E95BBF" w:rsidP="00F243B8">
      <w:pPr>
        <w:widowControl w:val="0"/>
        <w:jc w:val="left"/>
      </w:pPr>
      <w:r>
        <w:t>Summary: Economic development incentive clawbacks</w:t>
      </w:r>
    </w:p>
    <w:p w:rsidR="00F243B8" w:rsidRDefault="00F243B8" w:rsidP="00F243B8">
      <w:pPr>
        <w:widowControl w:val="0"/>
        <w:jc w:val="left"/>
      </w:pPr>
    </w:p>
    <w:p w:rsidR="00F243B8" w:rsidRDefault="00F243B8" w:rsidP="00F243B8">
      <w:pPr>
        <w:widowControl w:val="0"/>
        <w:jc w:val="left"/>
      </w:pPr>
    </w:p>
    <w:p w:rsidR="00F243B8" w:rsidRDefault="00F243B8" w:rsidP="00F243B8">
      <w:pPr>
        <w:widowControl w:val="0"/>
        <w:tabs>
          <w:tab w:val="center" w:pos="590"/>
          <w:tab w:val="center" w:pos="1440"/>
          <w:tab w:val="left" w:pos="1872"/>
          <w:tab w:val="left" w:pos="9187"/>
        </w:tabs>
        <w:jc w:val="left"/>
      </w:pPr>
      <w:r w:rsidRPr="00F243B8">
        <w:rPr>
          <w:b/>
        </w:rPr>
        <w:t>HISTORY OF LEGISLATIVE ACTIONS</w:t>
      </w:r>
    </w:p>
    <w:p w:rsidR="00F243B8" w:rsidRDefault="00F243B8" w:rsidP="00F243B8">
      <w:pPr>
        <w:widowControl w:val="0"/>
        <w:tabs>
          <w:tab w:val="center" w:pos="590"/>
          <w:tab w:val="center" w:pos="1440"/>
          <w:tab w:val="left" w:pos="1872"/>
          <w:tab w:val="left" w:pos="9187"/>
        </w:tabs>
        <w:jc w:val="left"/>
      </w:pPr>
    </w:p>
    <w:p w:rsidR="00F243B8" w:rsidRPr="00F243B8" w:rsidRDefault="00F243B8" w:rsidP="00F243B8">
      <w:pPr>
        <w:widowControl w:val="0"/>
        <w:tabs>
          <w:tab w:val="center" w:pos="590"/>
          <w:tab w:val="center" w:pos="1440"/>
          <w:tab w:val="left" w:pos="1872"/>
          <w:tab w:val="left" w:pos="9187"/>
        </w:tabs>
        <w:jc w:val="left"/>
      </w:pPr>
      <w:r w:rsidRPr="00F243B8">
        <w:rPr>
          <w:u w:val="single"/>
        </w:rPr>
        <w:tab/>
        <w:t>Date</w:t>
      </w:r>
      <w:r w:rsidRPr="00F243B8">
        <w:rPr>
          <w:u w:val="single"/>
        </w:rPr>
        <w:tab/>
        <w:t>Body</w:t>
      </w:r>
      <w:r w:rsidRPr="00F243B8">
        <w:rPr>
          <w:u w:val="single"/>
        </w:rPr>
        <w:tab/>
        <w:t>Action Description with journal page number</w:t>
      </w:r>
      <w:r w:rsidRPr="00F243B8">
        <w:rPr>
          <w:u w:val="single"/>
        </w:rPr>
        <w:tab/>
      </w:r>
    </w:p>
    <w:p w:rsidR="000828AB" w:rsidRDefault="000828AB" w:rsidP="000828AB">
      <w:pPr>
        <w:widowControl w:val="0"/>
        <w:tabs>
          <w:tab w:val="right" w:pos="1008"/>
          <w:tab w:val="left" w:pos="1152"/>
          <w:tab w:val="left" w:pos="1872"/>
          <w:tab w:val="left" w:pos="9187"/>
        </w:tabs>
        <w:ind w:left="2088" w:hanging="2088"/>
      </w:pPr>
      <w:r>
        <w:tab/>
        <w:t>3/10/2020</w:t>
      </w:r>
      <w:r>
        <w:tab/>
        <w:t>Senate</w:t>
      </w:r>
      <w:r>
        <w:tab/>
        <w:t>Introduced and read first time (</w:t>
      </w:r>
      <w:hyperlink r:id="rId7" w:history="1">
        <w:r w:rsidRPr="006C7337">
          <w:rPr>
            <w:rStyle w:val="Hyperlink"/>
          </w:rPr>
          <w:t>Senate Journal</w:t>
        </w:r>
        <w:r w:rsidRPr="006C7337">
          <w:rPr>
            <w:rStyle w:val="Hyperlink"/>
          </w:rPr>
          <w:noBreakHyphen/>
          <w:t>page 7</w:t>
        </w:r>
      </w:hyperlink>
      <w:r>
        <w:t>)</w:t>
      </w:r>
    </w:p>
    <w:p w:rsidR="000828AB" w:rsidRDefault="000828AB" w:rsidP="000828AB">
      <w:pPr>
        <w:widowControl w:val="0"/>
        <w:tabs>
          <w:tab w:val="right" w:pos="1008"/>
          <w:tab w:val="left" w:pos="1152"/>
          <w:tab w:val="left" w:pos="1872"/>
          <w:tab w:val="left" w:pos="9187"/>
        </w:tabs>
        <w:ind w:left="2088" w:hanging="2088"/>
      </w:pPr>
      <w:r>
        <w:tab/>
        <w:t>3/10/2020</w:t>
      </w:r>
      <w:r>
        <w:tab/>
        <w:t>Senate</w:t>
      </w:r>
      <w:r>
        <w:tab/>
        <w:t xml:space="preserve">Referred to Committee on </w:t>
      </w:r>
      <w:r w:rsidRPr="006C7337">
        <w:rPr>
          <w:b/>
        </w:rPr>
        <w:t>Finance</w:t>
      </w:r>
      <w:r>
        <w:t xml:space="preserve"> (</w:t>
      </w:r>
      <w:hyperlink r:id="rId8" w:history="1">
        <w:r w:rsidRPr="006C7337">
          <w:rPr>
            <w:rStyle w:val="Hyperlink"/>
          </w:rPr>
          <w:t>Senate Journal</w:t>
        </w:r>
        <w:r w:rsidRPr="006C7337">
          <w:rPr>
            <w:rStyle w:val="Hyperlink"/>
          </w:rPr>
          <w:noBreakHyphen/>
          <w:t>page 7</w:t>
        </w:r>
      </w:hyperlink>
      <w:r>
        <w:t>)</w:t>
      </w:r>
    </w:p>
    <w:p w:rsidR="000828AB" w:rsidRDefault="000828AB" w:rsidP="000828AB">
      <w:pPr>
        <w:widowControl w:val="0"/>
        <w:tabs>
          <w:tab w:val="right" w:pos="1008"/>
          <w:tab w:val="left" w:pos="1152"/>
          <w:tab w:val="left" w:pos="1872"/>
          <w:tab w:val="left" w:pos="9187"/>
        </w:tabs>
        <w:ind w:left="2088" w:hanging="2088"/>
      </w:pPr>
    </w:p>
    <w:p w:rsidR="00F243B8" w:rsidRDefault="00F243B8" w:rsidP="00F243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43B8">
          <w:rPr>
            <w:rStyle w:val="Hyperlink"/>
          </w:rPr>
          <w:t>legislative information</w:t>
        </w:r>
      </w:hyperlink>
      <w:r>
        <w:t xml:space="preserve"> at the website</w:t>
      </w:r>
    </w:p>
    <w:p w:rsidR="00F243B8" w:rsidRDefault="00F243B8" w:rsidP="00F243B8">
      <w:pPr>
        <w:widowControl w:val="0"/>
        <w:tabs>
          <w:tab w:val="right" w:pos="1008"/>
          <w:tab w:val="left" w:pos="1152"/>
          <w:tab w:val="left" w:pos="1872"/>
          <w:tab w:val="left" w:pos="9187"/>
        </w:tabs>
        <w:ind w:left="2088" w:hanging="2088"/>
        <w:jc w:val="left"/>
      </w:pPr>
    </w:p>
    <w:p w:rsidR="00F243B8" w:rsidRPr="00F243B8" w:rsidRDefault="00F243B8" w:rsidP="00F243B8">
      <w:pPr>
        <w:widowControl w:val="0"/>
        <w:tabs>
          <w:tab w:val="right" w:pos="1008"/>
          <w:tab w:val="left" w:pos="1152"/>
          <w:tab w:val="left" w:pos="1872"/>
          <w:tab w:val="left" w:pos="9187"/>
        </w:tabs>
        <w:ind w:left="2088" w:hanging="2088"/>
        <w:jc w:val="left"/>
      </w:pPr>
    </w:p>
    <w:p w:rsidR="00F243B8" w:rsidRDefault="00F243B8" w:rsidP="00F243B8">
      <w:pPr>
        <w:widowControl w:val="0"/>
        <w:jc w:val="left"/>
      </w:pPr>
      <w:r w:rsidRPr="00F243B8">
        <w:rPr>
          <w:b/>
        </w:rPr>
        <w:t>VERSIONS OF THIS BILL</w:t>
      </w:r>
    </w:p>
    <w:p w:rsidR="00F243B8" w:rsidRDefault="00F243B8" w:rsidP="00F243B8">
      <w:pPr>
        <w:widowControl w:val="0"/>
        <w:jc w:val="left"/>
      </w:pPr>
    </w:p>
    <w:p w:rsidR="00F243B8" w:rsidRDefault="00072EE3" w:rsidP="00F243B8">
      <w:pPr>
        <w:widowControl w:val="0"/>
        <w:jc w:val="left"/>
      </w:pPr>
      <w:hyperlink r:id="rId10" w:history="1">
        <w:r w:rsidR="00F243B8">
          <w:rPr>
            <w:rStyle w:val="Hyperlink"/>
          </w:rPr>
          <w:t>3/10/2020</w:t>
        </w:r>
      </w:hyperlink>
    </w:p>
    <w:p w:rsidR="00F243B8" w:rsidRDefault="00F243B8" w:rsidP="00F243B8"/>
    <w:p w:rsidR="00F243B8" w:rsidRDefault="00F243B8" w:rsidP="00F243B8">
      <w:pPr>
        <w:sectPr w:rsidR="00F243B8" w:rsidSect="00F243B8">
          <w:pgSz w:w="12240" w:h="15840" w:code="1"/>
          <w:pgMar w:top="1080" w:right="1440" w:bottom="1080" w:left="1440" w:header="720" w:footer="720" w:gutter="0"/>
          <w:cols w:space="720"/>
          <w:noEndnote/>
          <w:docGrid w:linePitch="360"/>
        </w:sectPr>
      </w:pPr>
    </w:p>
    <w:p w:rsidR="002639AA" w:rsidRDefault="002639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72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3C62">
        <w:rPr>
          <w:color w:val="000000" w:themeColor="text1"/>
          <w:u w:color="000000" w:themeColor="text1"/>
        </w:rPr>
        <w:t>TO AMEND THE CODE OF LAWS OF SOUTH CAROLINA, 1976, BY ADDING SECTION 39</w:t>
      </w:r>
      <w:r w:rsidR="001C7D70">
        <w:rPr>
          <w:color w:val="000000" w:themeColor="text1"/>
          <w:u w:color="000000" w:themeColor="text1"/>
        </w:rPr>
        <w:noBreakHyphen/>
      </w:r>
      <w:r w:rsidRPr="00303C62">
        <w:rPr>
          <w:color w:val="000000" w:themeColor="text1"/>
          <w:u w:color="000000" w:themeColor="text1"/>
        </w:rPr>
        <w:t>1</w:t>
      </w:r>
      <w:r w:rsidR="001C7D70">
        <w:rPr>
          <w:color w:val="000000" w:themeColor="text1"/>
          <w:u w:color="000000" w:themeColor="text1"/>
        </w:rPr>
        <w:noBreakHyphen/>
      </w:r>
      <w:r w:rsidRPr="00303C62">
        <w:rPr>
          <w:color w:val="000000" w:themeColor="text1"/>
          <w:u w:color="000000" w:themeColor="text1"/>
        </w:rPr>
        <w:t xml:space="preserve">100 SO AS TO PROVIDE THAT THE DEPARTMENT OF COMMERCE SHALL KEEP A RECORD OF ALL ECONOMIC DEVELOPMENT INCENTIVE CLAWBACKS AND SHALL REPORT ON ALL CLAWBACKS THAT HAVE BEEN TRIGGERED.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225" w:rsidRDefault="006B72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7225" w:rsidRDefault="006B72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6E" w:rsidRPr="00303C62" w:rsidRDefault="006B7225"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5B6E" w:rsidRPr="00303C62">
        <w:rPr>
          <w:color w:val="000000" w:themeColor="text1"/>
          <w:u w:color="000000" w:themeColor="text1"/>
        </w:rPr>
        <w:t>Chapter 1, Title 39 of the 1976 Code is amended by adding:</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t>“Section 39</w:t>
      </w:r>
      <w:r w:rsidR="001C7D70">
        <w:rPr>
          <w:color w:val="000000" w:themeColor="text1"/>
          <w:u w:color="000000" w:themeColor="text1"/>
        </w:rPr>
        <w:noBreakHyphen/>
      </w:r>
      <w:r w:rsidRPr="00303C62">
        <w:rPr>
          <w:color w:val="000000" w:themeColor="text1"/>
          <w:u w:color="000000" w:themeColor="text1"/>
        </w:rPr>
        <w:t>1</w:t>
      </w:r>
      <w:r w:rsidR="001C7D70">
        <w:rPr>
          <w:color w:val="000000" w:themeColor="text1"/>
          <w:u w:color="000000" w:themeColor="text1"/>
        </w:rPr>
        <w:noBreakHyphen/>
      </w:r>
      <w:r w:rsidRPr="00303C62">
        <w:rPr>
          <w:color w:val="000000" w:themeColor="text1"/>
          <w:u w:color="000000" w:themeColor="text1"/>
        </w:rPr>
        <w:t>100.</w:t>
      </w:r>
      <w:r w:rsidRPr="00303C62">
        <w:rPr>
          <w:color w:val="000000" w:themeColor="text1"/>
          <w:u w:color="000000" w:themeColor="text1"/>
        </w:rPr>
        <w:tab/>
        <w:t>(A)</w:t>
      </w:r>
      <w:r w:rsidRPr="00303C62">
        <w:rPr>
          <w:color w:val="000000" w:themeColor="text1"/>
          <w:u w:color="000000" w:themeColor="text1"/>
        </w:rPr>
        <w:tab/>
        <w:t>For the purpose</w:t>
      </w:r>
      <w:r w:rsidR="001C7D70">
        <w:rPr>
          <w:color w:val="000000" w:themeColor="text1"/>
          <w:u w:color="000000" w:themeColor="text1"/>
        </w:rPr>
        <w:t>s</w:t>
      </w:r>
      <w:r w:rsidRPr="00303C62">
        <w:rPr>
          <w:color w:val="000000" w:themeColor="text1"/>
          <w:u w:color="000000" w:themeColor="text1"/>
        </w:rPr>
        <w:t xml:space="preserve"> of this section:</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r>
      <w:r w:rsidRPr="00303C62">
        <w:rPr>
          <w:color w:val="000000" w:themeColor="text1"/>
          <w:u w:color="000000" w:themeColor="text1"/>
        </w:rPr>
        <w:tab/>
        <w:t>(1)</w:t>
      </w:r>
      <w:r w:rsidRPr="00303C62">
        <w:rPr>
          <w:color w:val="000000" w:themeColor="text1"/>
          <w:u w:color="000000" w:themeColor="text1"/>
        </w:rPr>
        <w:tab/>
      </w:r>
      <w:r w:rsidR="001C7D70" w:rsidRPr="001C7D70">
        <w:rPr>
          <w:color w:val="000000" w:themeColor="text1"/>
          <w:u w:color="000000" w:themeColor="text1"/>
        </w:rPr>
        <w:t>‘</w:t>
      </w:r>
      <w:r w:rsidRPr="00303C62">
        <w:rPr>
          <w:color w:val="000000" w:themeColor="text1"/>
          <w:u w:color="000000" w:themeColor="text1"/>
        </w:rPr>
        <w:t>Clawback</w:t>
      </w:r>
      <w:r w:rsidR="001C7D70" w:rsidRPr="001C7D70">
        <w:rPr>
          <w:color w:val="000000" w:themeColor="text1"/>
          <w:u w:color="000000" w:themeColor="text1"/>
        </w:rPr>
        <w:t>’</w:t>
      </w:r>
      <w:r w:rsidRPr="00303C62">
        <w:rPr>
          <w:color w:val="000000" w:themeColor="text1"/>
          <w:u w:color="000000" w:themeColor="text1"/>
        </w:rPr>
        <w:t xml:space="preserve"> means a requirement that all or part of an economic development incentive will be returned or forfeited if the recipient business does not fulfill its responsibilities under the incentive law, contract, or both.</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r>
      <w:r w:rsidRPr="00303C62">
        <w:rPr>
          <w:color w:val="000000" w:themeColor="text1"/>
          <w:u w:color="000000" w:themeColor="text1"/>
        </w:rPr>
        <w:tab/>
        <w:t>(2)</w:t>
      </w:r>
      <w:r w:rsidRPr="00303C62">
        <w:rPr>
          <w:color w:val="000000" w:themeColor="text1"/>
          <w:u w:color="000000" w:themeColor="text1"/>
        </w:rPr>
        <w:tab/>
      </w:r>
      <w:r w:rsidR="001C7D70" w:rsidRPr="001C7D70">
        <w:rPr>
          <w:color w:val="000000" w:themeColor="text1"/>
          <w:u w:color="000000" w:themeColor="text1"/>
        </w:rPr>
        <w:t>‘</w:t>
      </w:r>
      <w:r w:rsidRPr="00303C62">
        <w:rPr>
          <w:color w:val="000000" w:themeColor="text1"/>
          <w:u w:color="000000" w:themeColor="text1"/>
        </w:rPr>
        <w:t>Economic development incentive</w:t>
      </w:r>
      <w:r w:rsidR="001C7D70" w:rsidRPr="001C7D70">
        <w:rPr>
          <w:color w:val="000000" w:themeColor="text1"/>
          <w:u w:color="000000" w:themeColor="text1"/>
        </w:rPr>
        <w:t>’</w:t>
      </w:r>
      <w:r w:rsidRPr="00303C62">
        <w:rPr>
          <w:color w:val="000000" w:themeColor="text1"/>
          <w:u w:color="000000" w:themeColor="text1"/>
        </w:rPr>
        <w:t xml:space="preserve"> means assistance from the State provided on a discretionary basis to attract or retain business operations including, but not limited to, tax credits or deductions, fees in lieu of taxes, monetary benefits, subsidies, or rebates.</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t>(B)</w:t>
      </w:r>
      <w:r w:rsidRPr="00303C62">
        <w:rPr>
          <w:color w:val="000000" w:themeColor="text1"/>
          <w:u w:color="000000" w:themeColor="text1"/>
        </w:rPr>
        <w:tab/>
        <w:t xml:space="preserve">The Department of Commerce shall keep a record of all clawbacks in state and federal programs it administers, whether provided by statute, rule, or pursuant to a contract. The records must include a description of each clawback, the program to which it applies, and a citation to its source. The department shall publish the records on its website and update it every six months. </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t>(C)</w:t>
      </w:r>
      <w:r w:rsidRPr="00303C62">
        <w:rPr>
          <w:color w:val="000000" w:themeColor="text1"/>
          <w:u w:color="000000" w:themeColor="text1"/>
        </w:rPr>
        <w:tab/>
        <w:t xml:space="preserve">By April first and October first of each year, the department shall report to the Senate Finance Committee, the House Ways and Means Committee, the Governor, and the Board of Economic </w:t>
      </w:r>
      <w:r w:rsidRPr="00303C62">
        <w:rPr>
          <w:color w:val="000000" w:themeColor="text1"/>
          <w:u w:color="000000" w:themeColor="text1"/>
        </w:rPr>
        <w:lastRenderedPageBreak/>
        <w:t>Advisors on all clawbacks that have been triggered as set forth in law and its progress on obtaining repayments. The report must include the name of each business, the event that triggered the clawback, and the amount forfeited or to be repaid.</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t>(D)</w:t>
      </w:r>
      <w:r w:rsidRPr="00303C62">
        <w:rPr>
          <w:color w:val="000000" w:themeColor="text1"/>
          <w:u w:color="000000" w:themeColor="text1"/>
        </w:rPr>
        <w:tab/>
        <w:t>The department shall consult with the Department of Revenue as necessary.”</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225" w:rsidRDefault="001B5B6E" w:rsidP="0026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3C62">
        <w:rPr>
          <w:color w:val="000000" w:themeColor="text1"/>
          <w:u w:color="000000" w:themeColor="text1"/>
        </w:rPr>
        <w:t>SECTION</w:t>
      </w:r>
      <w:r w:rsidRPr="00303C62">
        <w:rPr>
          <w:color w:val="000000" w:themeColor="text1"/>
          <w:u w:color="000000" w:themeColor="text1"/>
        </w:rPr>
        <w:tab/>
        <w:t>2</w:t>
      </w:r>
      <w:r>
        <w:t>.</w:t>
      </w:r>
      <w:r>
        <w:tab/>
        <w:t>Th</w:t>
      </w:r>
      <w:r w:rsidR="006B7225">
        <w:t>is act takes effect upon approval by the Governor.</w:t>
      </w:r>
    </w:p>
    <w:p w:rsidR="00E25698" w:rsidRDefault="001C7D70" w:rsidP="00E1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3B8" w:rsidRDefault="00F243B8" w:rsidP="00F243B8">
      <w:pPr>
        <w:suppressAutoHyphens/>
      </w:pPr>
    </w:p>
    <w:sectPr w:rsidR="00F243B8" w:rsidSect="00F243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225" w:rsidRDefault="006B7225" w:rsidP="009F0C77">
      <w:r>
        <w:separator/>
      </w:r>
    </w:p>
  </w:endnote>
  <w:endnote w:type="continuationSeparator" w:id="0">
    <w:p w:rsidR="006B7225" w:rsidRDefault="006B7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C36680-BB55-46EC-8396-AA12494EE518}"/>
    <w:embedBold r:id="rId2" w:fontKey="{7BF5384F-AF71-46AD-A7B9-13154827F1DE}"/>
  </w:font>
  <w:font w:name="Calibri">
    <w:panose1 w:val="020F0502020204030204"/>
    <w:charset w:val="00"/>
    <w:family w:val="swiss"/>
    <w:pitch w:val="variable"/>
    <w:sig w:usb0="E0002EFF" w:usb1="C000247B" w:usb2="00000009" w:usb3="00000000" w:csb0="000001FF" w:csb1="00000000"/>
    <w:embedRegular r:id="rId3" w:fontKey="{265BD298-72EC-4359-B8E8-C4B0BCCCA524}"/>
  </w:font>
  <w:font w:name="Segoe UI">
    <w:panose1 w:val="020B0502040204020203"/>
    <w:charset w:val="00"/>
    <w:family w:val="swiss"/>
    <w:pitch w:val="variable"/>
    <w:sig w:usb0="E4002EFF" w:usb1="C000E47F" w:usb2="00000009" w:usb3="00000000" w:csb0="000001FF" w:csb1="00000000"/>
    <w:embedRegular r:id="rId4" w:fontKey="{1C932C47-D939-4C11-80EA-ACDE62D712E0}"/>
  </w:font>
  <w:font w:name="Cambria">
    <w:panose1 w:val="02040503050406030204"/>
    <w:charset w:val="00"/>
    <w:family w:val="roman"/>
    <w:pitch w:val="variable"/>
    <w:sig w:usb0="E00006FF" w:usb1="420024FF" w:usb2="02000000" w:usb3="00000000" w:csb0="0000019F" w:csb1="00000000"/>
    <w:embedRegular r:id="rId5" w:fontKey="{958973E3-04EC-49EE-9DCE-FD6B2FE9AF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3B8" w:rsidRPr="002639AA" w:rsidRDefault="00F243B8" w:rsidP="002639AA">
    <w:pPr>
      <w:pStyle w:val="Footer"/>
      <w:tabs>
        <w:tab w:val="clear" w:pos="4680"/>
        <w:tab w:val="clear" w:pos="9360"/>
        <w:tab w:val="center" w:pos="2995"/>
      </w:tabs>
      <w:spacing w:before="120"/>
    </w:pPr>
    <w:r>
      <w:t>[1160]</w:t>
    </w:r>
    <w:r>
      <w:tab/>
    </w:r>
    <w:r>
      <w:fldChar w:fldCharType="begin"/>
    </w:r>
    <w:r>
      <w:instrText xml:space="preserve"> PAGE  \* MERGEFORMAT </w:instrText>
    </w:r>
    <w:r>
      <w:fldChar w:fldCharType="separate"/>
    </w:r>
    <w:r w:rsidR="00E95B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225" w:rsidRDefault="006B7225" w:rsidP="009F0C77">
      <w:r>
        <w:separator/>
      </w:r>
    </w:p>
  </w:footnote>
  <w:footnote w:type="continuationSeparator" w:id="0">
    <w:p w:rsidR="006B7225" w:rsidRDefault="006B7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40SA20"/>
    <w:docVar w:name="CoverBillType" w:val="b"/>
    <w:docVar w:name="DocPath" w:val="L:\Council\bills\RT\17740SA20.DOCX"/>
    <w:docVar w:name="dvBillNumber" w:val="1160"/>
    <w:docVar w:name="dvBillNumberPrefix" w:val="S. "/>
    <w:docVar w:name="dvOriginalBody" w:val="Senate"/>
    <w:docVar w:name="dvSteno" w:val="RT"/>
    <w:docVar w:name="NameofBody" w:val="s"/>
    <w:docVar w:name="vGroup2" w:val="Council"/>
  </w:docVars>
  <w:rsids>
    <w:rsidRoot w:val="006B7225"/>
    <w:rsid w:val="000263D9"/>
    <w:rsid w:val="00026C9A"/>
    <w:rsid w:val="00044BC9"/>
    <w:rsid w:val="000828AB"/>
    <w:rsid w:val="000965A1"/>
    <w:rsid w:val="000C487D"/>
    <w:rsid w:val="000E1785"/>
    <w:rsid w:val="000F39F2"/>
    <w:rsid w:val="001023A4"/>
    <w:rsid w:val="0010776B"/>
    <w:rsid w:val="00133E66"/>
    <w:rsid w:val="00134ACF"/>
    <w:rsid w:val="00144E15"/>
    <w:rsid w:val="00196176"/>
    <w:rsid w:val="001A4A62"/>
    <w:rsid w:val="001A681E"/>
    <w:rsid w:val="001B5B6E"/>
    <w:rsid w:val="001C7D70"/>
    <w:rsid w:val="001D08F2"/>
    <w:rsid w:val="002037CA"/>
    <w:rsid w:val="002047A2"/>
    <w:rsid w:val="002321B6"/>
    <w:rsid w:val="0023696B"/>
    <w:rsid w:val="00250967"/>
    <w:rsid w:val="002639AA"/>
    <w:rsid w:val="002759C5"/>
    <w:rsid w:val="00277DEE"/>
    <w:rsid w:val="00280D88"/>
    <w:rsid w:val="00294ABE"/>
    <w:rsid w:val="002A3EB4"/>
    <w:rsid w:val="00325348"/>
    <w:rsid w:val="00393688"/>
    <w:rsid w:val="003D411E"/>
    <w:rsid w:val="003E3C1E"/>
    <w:rsid w:val="003E6148"/>
    <w:rsid w:val="003E7D04"/>
    <w:rsid w:val="003F6B11"/>
    <w:rsid w:val="00400EAA"/>
    <w:rsid w:val="0041760A"/>
    <w:rsid w:val="004203D7"/>
    <w:rsid w:val="00423F46"/>
    <w:rsid w:val="00461588"/>
    <w:rsid w:val="004809EE"/>
    <w:rsid w:val="004B2A8B"/>
    <w:rsid w:val="00511EE9"/>
    <w:rsid w:val="00521E00"/>
    <w:rsid w:val="00533D30"/>
    <w:rsid w:val="00577C6C"/>
    <w:rsid w:val="0058501B"/>
    <w:rsid w:val="005C5AC4"/>
    <w:rsid w:val="0061228A"/>
    <w:rsid w:val="006215AA"/>
    <w:rsid w:val="006340D9"/>
    <w:rsid w:val="00643B8E"/>
    <w:rsid w:val="00653ECC"/>
    <w:rsid w:val="00665EBC"/>
    <w:rsid w:val="00680479"/>
    <w:rsid w:val="0069470D"/>
    <w:rsid w:val="006A476C"/>
    <w:rsid w:val="006B722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2D7D"/>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940"/>
    <w:rsid w:val="00E25698"/>
    <w:rsid w:val="00E437DA"/>
    <w:rsid w:val="00E63093"/>
    <w:rsid w:val="00E95BBF"/>
    <w:rsid w:val="00EB00A2"/>
    <w:rsid w:val="00EB1BF3"/>
    <w:rsid w:val="00EF3EEE"/>
    <w:rsid w:val="00F149A7"/>
    <w:rsid w:val="00F243B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A5BDA-E0EF-4374-B976-747F95668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7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D70"/>
    <w:rPr>
      <w:rFonts w:ascii="Segoe UI" w:eastAsia="Times New Roman" w:hAnsi="Segoe UI" w:cs="Segoe UI"/>
      <w:sz w:val="18"/>
      <w:szCs w:val="18"/>
    </w:rPr>
  </w:style>
  <w:style w:type="character" w:styleId="Hyperlink">
    <w:name w:val="Hyperlink"/>
    <w:basedOn w:val="DefaultParagraphFont"/>
    <w:uiPriority w:val="99"/>
    <w:unhideWhenUsed/>
    <w:rsid w:val="00F24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60_2020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4940F-6006-4195-9F3E-6409D19F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427</Words>
  <Characters>2448</Characters>
  <Application>Microsoft Office Word</Application>
  <DocSecurity>0</DocSecurity>
  <Lines>116</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1160: Subject not yet available - South Carolina Legislature Online</dc:title>
  <dc:subject/>
  <dc:creator>Rebecca Turner</dc:creator>
  <cp:keywords/>
  <dc:description/>
  <cp:lastModifiedBy>S Wilson</cp:lastModifiedBy>
  <cp:revision>2</cp:revision>
  <cp:lastPrinted>2020-03-06T13:48:00Z</cp:lastPrinted>
  <dcterms:created xsi:type="dcterms:W3CDTF">2020-03-12T15:58:00Z</dcterms:created>
  <dcterms:modified xsi:type="dcterms:W3CDTF">2020-03-12T15:58:00Z</dcterms:modified>
</cp:coreProperties>
</file>