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589" w:rsidRDefault="00D16589" w:rsidP="00D16589">
      <w:pPr>
        <w:widowControl w:val="0"/>
        <w:jc w:val="center"/>
      </w:pPr>
      <w:r w:rsidRPr="00D16589">
        <w:rPr>
          <w:b/>
        </w:rPr>
        <w:t>South Carolina General Assembly</w:t>
      </w:r>
    </w:p>
    <w:p w:rsidR="00D16589" w:rsidRDefault="00D16589" w:rsidP="00D16589">
      <w:pPr>
        <w:widowControl w:val="0"/>
        <w:jc w:val="center"/>
      </w:pPr>
      <w:r>
        <w:t>123rd Session, 2019-2020</w:t>
      </w:r>
    </w:p>
    <w:p w:rsidR="00D16589" w:rsidRDefault="00D16589" w:rsidP="00D16589">
      <w:pPr>
        <w:widowControl w:val="0"/>
      </w:pPr>
    </w:p>
    <w:p w:rsidR="00D16589" w:rsidRDefault="00D16589" w:rsidP="00D16589">
      <w:pPr>
        <w:widowControl w:val="0"/>
        <w:rPr>
          <w:b/>
        </w:rPr>
      </w:pPr>
      <w:r w:rsidRPr="00D16589">
        <w:rPr>
          <w:b/>
        </w:rPr>
        <w:t>S.</w:t>
      </w:r>
      <w:r>
        <w:rPr>
          <w:b/>
        </w:rPr>
        <w:t xml:space="preserve"> </w:t>
      </w:r>
      <w:r w:rsidRPr="00D16589">
        <w:rPr>
          <w:b/>
        </w:rPr>
        <w:t>137</w:t>
      </w:r>
    </w:p>
    <w:p w:rsidR="00D16589" w:rsidRDefault="00D16589" w:rsidP="00D16589">
      <w:pPr>
        <w:widowControl w:val="0"/>
        <w:rPr>
          <w:b/>
        </w:rPr>
      </w:pPr>
    </w:p>
    <w:p w:rsidR="00D16589" w:rsidRDefault="00D16589" w:rsidP="00D16589">
      <w:pPr>
        <w:widowControl w:val="0"/>
      </w:pPr>
      <w:r w:rsidRPr="00D16589">
        <w:rPr>
          <w:b/>
        </w:rPr>
        <w:t>STATUS INFORMATION</w:t>
      </w:r>
    </w:p>
    <w:p w:rsidR="00D16589" w:rsidRDefault="00D16589" w:rsidP="00D16589">
      <w:pPr>
        <w:widowControl w:val="0"/>
      </w:pPr>
    </w:p>
    <w:p w:rsidR="00D16589" w:rsidRDefault="00D16589" w:rsidP="00D16589">
      <w:pPr>
        <w:widowControl w:val="0"/>
      </w:pPr>
      <w:r>
        <w:t>General Bill</w:t>
      </w:r>
    </w:p>
    <w:p w:rsidR="00D16589" w:rsidRDefault="00D16589" w:rsidP="00D16589">
      <w:pPr>
        <w:widowControl w:val="0"/>
      </w:pPr>
      <w:r>
        <w:t>Sponsors: Senator Davis</w:t>
      </w:r>
    </w:p>
    <w:p w:rsidR="00D16589" w:rsidRDefault="00D16589" w:rsidP="00D16589">
      <w:pPr>
        <w:widowControl w:val="0"/>
      </w:pPr>
      <w:r>
        <w:t>Document Path: l:\s-res\td\001util.sp.td.docx</w:t>
      </w:r>
    </w:p>
    <w:p w:rsidR="00D16589" w:rsidRDefault="00D16589" w:rsidP="00D16589">
      <w:pPr>
        <w:widowControl w:val="0"/>
      </w:pPr>
    </w:p>
    <w:p w:rsidR="00787079" w:rsidRDefault="00787079" w:rsidP="00D16589">
      <w:pPr>
        <w:widowControl w:val="0"/>
      </w:pPr>
      <w:r>
        <w:t>Introduced in the Senate on January 8, 2019</w:t>
      </w:r>
    </w:p>
    <w:p w:rsidR="00787079" w:rsidRPr="00787079" w:rsidRDefault="00787079" w:rsidP="00D16589">
      <w:pPr>
        <w:widowControl w:val="0"/>
      </w:pPr>
      <w:r>
        <w:t xml:space="preserve">Currently residing in the Senate Committee on </w:t>
      </w:r>
      <w:r w:rsidRPr="00787079">
        <w:rPr>
          <w:b/>
        </w:rPr>
        <w:t>Judiciary</w:t>
      </w:r>
    </w:p>
    <w:p w:rsidR="00787079" w:rsidRDefault="00787079" w:rsidP="00D16589">
      <w:pPr>
        <w:widowControl w:val="0"/>
      </w:pPr>
    </w:p>
    <w:p w:rsidR="00D16589" w:rsidRDefault="00D16589" w:rsidP="00D16589">
      <w:pPr>
        <w:widowControl w:val="0"/>
      </w:pPr>
      <w:r>
        <w:t xml:space="preserve">Summary: </w:t>
      </w:r>
      <w:r w:rsidR="008D25F0">
        <w:t>Electric utilities</w:t>
      </w:r>
    </w:p>
    <w:p w:rsidR="00D16589" w:rsidRDefault="00D16589" w:rsidP="00D16589">
      <w:pPr>
        <w:widowControl w:val="0"/>
      </w:pPr>
    </w:p>
    <w:p w:rsidR="00D16589" w:rsidRDefault="00D16589" w:rsidP="00D16589">
      <w:pPr>
        <w:widowControl w:val="0"/>
      </w:pPr>
    </w:p>
    <w:p w:rsidR="00D16589" w:rsidRDefault="00D16589" w:rsidP="00D16589">
      <w:pPr>
        <w:widowControl w:val="0"/>
        <w:tabs>
          <w:tab w:val="center" w:pos="590"/>
          <w:tab w:val="center" w:pos="1440"/>
          <w:tab w:val="left" w:pos="1872"/>
          <w:tab w:val="left" w:pos="9187"/>
        </w:tabs>
      </w:pPr>
      <w:r w:rsidRPr="00D16589">
        <w:rPr>
          <w:b/>
        </w:rPr>
        <w:t>HISTORY OF LEGISLATIVE ACTIONS</w:t>
      </w:r>
    </w:p>
    <w:p w:rsidR="00D16589" w:rsidRDefault="00D16589" w:rsidP="00D16589">
      <w:pPr>
        <w:widowControl w:val="0"/>
        <w:tabs>
          <w:tab w:val="center" w:pos="590"/>
          <w:tab w:val="center" w:pos="1440"/>
          <w:tab w:val="left" w:pos="1872"/>
          <w:tab w:val="left" w:pos="9187"/>
        </w:tabs>
      </w:pPr>
    </w:p>
    <w:p w:rsidR="00D16589" w:rsidRPr="00D16589" w:rsidRDefault="00D16589" w:rsidP="00D16589">
      <w:pPr>
        <w:widowControl w:val="0"/>
        <w:tabs>
          <w:tab w:val="center" w:pos="590"/>
          <w:tab w:val="center" w:pos="1440"/>
          <w:tab w:val="left" w:pos="1872"/>
          <w:tab w:val="left" w:pos="9187"/>
        </w:tabs>
      </w:pPr>
      <w:r w:rsidRPr="00D16589">
        <w:rPr>
          <w:u w:val="single"/>
        </w:rPr>
        <w:tab/>
        <w:t>Date</w:t>
      </w:r>
      <w:r w:rsidRPr="00D16589">
        <w:rPr>
          <w:u w:val="single"/>
        </w:rPr>
        <w:tab/>
        <w:t>Body</w:t>
      </w:r>
      <w:r w:rsidRPr="00D16589">
        <w:rPr>
          <w:u w:val="single"/>
        </w:rPr>
        <w:tab/>
        <w:t>Action Description with journal page number</w:t>
      </w:r>
      <w:r w:rsidRPr="00D16589">
        <w:rPr>
          <w:u w:val="single"/>
        </w:rPr>
        <w:tab/>
      </w:r>
    </w:p>
    <w:p w:rsidR="003A5C6A" w:rsidRDefault="003A5C6A" w:rsidP="003A5C6A">
      <w:pPr>
        <w:widowControl w:val="0"/>
        <w:tabs>
          <w:tab w:val="right" w:pos="1008"/>
          <w:tab w:val="left" w:pos="1152"/>
          <w:tab w:val="left" w:pos="1872"/>
          <w:tab w:val="left" w:pos="9187"/>
        </w:tabs>
        <w:ind w:left="2088" w:hanging="2088"/>
      </w:pPr>
      <w:r>
        <w:tab/>
        <w:t>12/12/2018</w:t>
      </w:r>
      <w:r>
        <w:tab/>
        <w:t>Senate</w:t>
      </w:r>
      <w:r>
        <w:tab/>
      </w:r>
      <w:r w:rsidRPr="0055583A">
        <w:t>Prefiled</w:t>
      </w:r>
    </w:p>
    <w:p w:rsidR="003A5C6A" w:rsidRDefault="003A5C6A" w:rsidP="003A5C6A">
      <w:pPr>
        <w:widowControl w:val="0"/>
        <w:tabs>
          <w:tab w:val="right" w:pos="1008"/>
          <w:tab w:val="left" w:pos="1152"/>
          <w:tab w:val="left" w:pos="1872"/>
          <w:tab w:val="left" w:pos="9187"/>
        </w:tabs>
        <w:ind w:left="2088" w:hanging="2088"/>
      </w:pPr>
      <w:r>
        <w:tab/>
        <w:t>12/12/2018</w:t>
      </w:r>
      <w:r>
        <w:tab/>
        <w:t>Senate</w:t>
      </w:r>
      <w:r>
        <w:tab/>
      </w:r>
      <w:r w:rsidRPr="0055583A">
        <w:t xml:space="preserve">Referred to Committee on </w:t>
      </w:r>
      <w:r w:rsidRPr="0055583A">
        <w:rPr>
          <w:b/>
        </w:rPr>
        <w:t>Judiciary</w:t>
      </w:r>
    </w:p>
    <w:p w:rsidR="003A5C6A" w:rsidRDefault="003A5C6A" w:rsidP="003A5C6A">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55583A">
        <w:t>(</w:t>
      </w:r>
      <w:hyperlink r:id="rId6" w:history="1">
        <w:r w:rsidRPr="0055583A">
          <w:rPr>
            <w:rStyle w:val="Hyperlink"/>
          </w:rPr>
          <w:t>Senate Journal</w:t>
        </w:r>
        <w:r w:rsidRPr="0055583A">
          <w:rPr>
            <w:rStyle w:val="Hyperlink"/>
          </w:rPr>
          <w:noBreakHyphen/>
          <w:t>page 104</w:t>
        </w:r>
      </w:hyperlink>
      <w:r w:rsidRPr="0055583A">
        <w:t>)</w:t>
      </w:r>
    </w:p>
    <w:p w:rsidR="003A5C6A" w:rsidRDefault="003A5C6A" w:rsidP="003A5C6A">
      <w:pPr>
        <w:widowControl w:val="0"/>
        <w:tabs>
          <w:tab w:val="right" w:pos="1008"/>
          <w:tab w:val="left" w:pos="1152"/>
          <w:tab w:val="left" w:pos="1872"/>
          <w:tab w:val="left" w:pos="9187"/>
        </w:tabs>
        <w:ind w:left="2088" w:hanging="2088"/>
      </w:pPr>
      <w:r>
        <w:tab/>
        <w:t>1/8/2019</w:t>
      </w:r>
      <w:r>
        <w:tab/>
        <w:t>Senate</w:t>
      </w:r>
      <w:r>
        <w:tab/>
      </w:r>
      <w:r w:rsidRPr="0055583A">
        <w:t>Ref</w:t>
      </w:r>
      <w:r>
        <w:t xml:space="preserve">erred to Committee on </w:t>
      </w:r>
      <w:r w:rsidRPr="0055583A">
        <w:rPr>
          <w:b/>
        </w:rPr>
        <w:t>Judiciary</w:t>
      </w:r>
      <w:r>
        <w:t xml:space="preserve"> </w:t>
      </w:r>
      <w:r w:rsidRPr="0055583A">
        <w:t>(</w:t>
      </w:r>
      <w:hyperlink r:id="rId7" w:history="1">
        <w:r w:rsidRPr="0055583A">
          <w:rPr>
            <w:rStyle w:val="Hyperlink"/>
          </w:rPr>
          <w:t>Senate Journal</w:t>
        </w:r>
        <w:r w:rsidRPr="0055583A">
          <w:rPr>
            <w:rStyle w:val="Hyperlink"/>
          </w:rPr>
          <w:noBreakHyphen/>
          <w:t>page 104</w:t>
        </w:r>
      </w:hyperlink>
      <w:r w:rsidRPr="0055583A">
        <w:t>)</w:t>
      </w:r>
    </w:p>
    <w:p w:rsidR="003A5C6A" w:rsidRDefault="003A5C6A" w:rsidP="003A5C6A">
      <w:pPr>
        <w:widowControl w:val="0"/>
        <w:tabs>
          <w:tab w:val="right" w:pos="1008"/>
          <w:tab w:val="left" w:pos="1152"/>
          <w:tab w:val="left" w:pos="1872"/>
          <w:tab w:val="left" w:pos="9187"/>
        </w:tabs>
        <w:ind w:left="2088" w:hanging="2088"/>
      </w:pPr>
    </w:p>
    <w:p w:rsidR="00D16589" w:rsidRDefault="00D16589" w:rsidP="00D1658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16589">
          <w:rPr>
            <w:rStyle w:val="Hyperlink"/>
          </w:rPr>
          <w:t>legislative information</w:t>
        </w:r>
      </w:hyperlink>
      <w:r>
        <w:t xml:space="preserve"> at the website</w:t>
      </w:r>
    </w:p>
    <w:p w:rsidR="00D16589" w:rsidRDefault="00D16589" w:rsidP="00D16589">
      <w:pPr>
        <w:widowControl w:val="0"/>
        <w:tabs>
          <w:tab w:val="right" w:pos="1008"/>
          <w:tab w:val="left" w:pos="1152"/>
          <w:tab w:val="left" w:pos="1872"/>
          <w:tab w:val="left" w:pos="9187"/>
        </w:tabs>
        <w:ind w:left="2088" w:hanging="2088"/>
      </w:pPr>
    </w:p>
    <w:p w:rsidR="00D16589" w:rsidRPr="00D16589" w:rsidRDefault="00D16589" w:rsidP="00D16589">
      <w:pPr>
        <w:widowControl w:val="0"/>
        <w:tabs>
          <w:tab w:val="right" w:pos="1008"/>
          <w:tab w:val="left" w:pos="1152"/>
          <w:tab w:val="left" w:pos="1872"/>
          <w:tab w:val="left" w:pos="9187"/>
        </w:tabs>
        <w:ind w:left="2088" w:hanging="2088"/>
      </w:pPr>
    </w:p>
    <w:p w:rsidR="00D16589" w:rsidRDefault="00D16589" w:rsidP="00D16589">
      <w:pPr>
        <w:widowControl w:val="0"/>
      </w:pPr>
      <w:r w:rsidRPr="00D16589">
        <w:rPr>
          <w:b/>
        </w:rPr>
        <w:t>VERSIONS OF THIS BILL</w:t>
      </w:r>
    </w:p>
    <w:p w:rsidR="00D16589" w:rsidRDefault="00D16589" w:rsidP="00D16589">
      <w:pPr>
        <w:widowControl w:val="0"/>
      </w:pPr>
    </w:p>
    <w:p w:rsidR="00D16589" w:rsidRDefault="005C1ACA" w:rsidP="00D16589">
      <w:pPr>
        <w:widowControl w:val="0"/>
      </w:pPr>
      <w:hyperlink r:id="rId9" w:history="1">
        <w:r w:rsidR="00D16589">
          <w:rPr>
            <w:rStyle w:val="Hyperlink"/>
          </w:rPr>
          <w:t>12/12/2018</w:t>
        </w:r>
      </w:hyperlink>
    </w:p>
    <w:p w:rsidR="00D16589" w:rsidRDefault="00D16589" w:rsidP="00D16589"/>
    <w:p w:rsidR="00D16589" w:rsidRDefault="00D16589" w:rsidP="00D16589">
      <w:pPr>
        <w:sectPr w:rsidR="00D16589" w:rsidSect="00D16589">
          <w:pgSz w:w="12240" w:h="15840" w:code="1"/>
          <w:pgMar w:top="1080" w:right="1440" w:bottom="1080" w:left="1440" w:header="720" w:footer="720" w:gutter="0"/>
          <w:cols w:space="720"/>
          <w:noEndnote/>
          <w:docGrid w:linePitch="360"/>
        </w:sectPr>
      </w:pPr>
    </w:p>
    <w:p w:rsidR="008F5591" w:rsidRPr="00522CE0" w:rsidRDefault="008F5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6F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0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58-27-970 OF THE 1976 CODE, RELATING TO AN ELECTRIC UTILITY’S PARTICIPATION IN PROFITS ARISING FROM EFFICIENCY, TO REQUIRE THE PUBLIC SERVICE COMMISSION TO ESTABLISH PERFORMANCE INCENTIVES AND PENALTY MECHANISMS THAT DIRECTLY TIE AN ELECTRIC UTILITY’S REVENUES TO THAT UTILITY’S ACHIEVEMENT ON PERFORMANCE METRICS, TO PROVIDE FACTORS THAT THE </w:t>
      </w:r>
      <w:r w:rsidR="00FD7C8C">
        <w:rPr>
          <w:rFonts w:eastAsia="Times New Roman"/>
        </w:rPr>
        <w:t xml:space="preserve">PUBLIC SERVICE </w:t>
      </w:r>
      <w:r>
        <w:rPr>
          <w:rFonts w:eastAsia="Times New Roman"/>
        </w:rPr>
        <w:t>COMMISSION MUST CONSIDER IN THIS DETERMINATION, AND TO PROVIDE AN EXCEPTION FOR MEMBER-OWNED ELECTRIC COOPERATIVES.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F6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F6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F6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70A33">
        <w:rPr>
          <w:rFonts w:eastAsia="Times New Roman"/>
        </w:rPr>
        <w:t>Section 58-27-970 of the 1976 Code is amended to read:</w:t>
      </w:r>
    </w:p>
    <w:p w:rsidR="00F70A33" w:rsidRDefault="00F70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A33" w:rsidRPr="00F70A33"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rFonts w:eastAsia="Times New Roman"/>
        </w:rPr>
        <w:tab/>
        <w:t>“</w:t>
      </w:r>
      <w:r w:rsidRPr="004B4045">
        <w:rPr>
          <w:color w:val="000000" w:themeColor="text1"/>
          <w:u w:color="000000" w:themeColor="text1"/>
        </w:rPr>
        <w:t>Section 58</w:t>
      </w:r>
      <w:r w:rsidR="00274C91">
        <w:rPr>
          <w:color w:val="000000" w:themeColor="text1"/>
          <w:u w:color="000000" w:themeColor="text1"/>
        </w:rPr>
        <w:noBreakHyphen/>
      </w:r>
      <w:r w:rsidRPr="004B4045">
        <w:rPr>
          <w:color w:val="000000" w:themeColor="text1"/>
          <w:u w:color="000000" w:themeColor="text1"/>
        </w:rPr>
        <w:t>27</w:t>
      </w:r>
      <w:r w:rsidR="00274C91">
        <w:rPr>
          <w:color w:val="000000" w:themeColor="text1"/>
          <w:u w:color="000000" w:themeColor="text1"/>
        </w:rPr>
        <w:noBreakHyphen/>
      </w:r>
      <w:r w:rsidRPr="004B4045">
        <w:rPr>
          <w:color w:val="000000" w:themeColor="text1"/>
          <w:u w:color="000000" w:themeColor="text1"/>
        </w:rPr>
        <w:t>970:</w:t>
      </w:r>
      <w:r w:rsidRPr="004B4045">
        <w:rPr>
          <w:color w:val="000000" w:themeColor="text1"/>
          <w:u w:color="000000" w:themeColor="text1"/>
        </w:rPr>
        <w:tab/>
      </w:r>
      <w:r w:rsidRPr="004B4045">
        <w:rPr>
          <w:color w:val="000000" w:themeColor="text1"/>
          <w:u w:val="single" w:color="000000" w:themeColor="text1"/>
        </w:rPr>
        <w:t>(A)</w:t>
      </w:r>
      <w:r w:rsidRPr="004B4045">
        <w:rPr>
          <w:color w:val="000000" w:themeColor="text1"/>
          <w:u w:color="000000" w:themeColor="text1"/>
        </w:rPr>
        <w:tab/>
      </w:r>
      <w:r w:rsidRPr="004B4045">
        <w:rPr>
          <w:strike/>
          <w:color w:val="000000" w:themeColor="text1"/>
          <w:u w:color="000000" w:themeColor="text1"/>
        </w:rPr>
        <w:t>For the purpose of encouraging economy, efficiency and improvements in methods or service any electrical utility may, subject to the approval of the Commission, participate to such extent as may be permitted by the Commission in additional profits arising from any economy, efficiency or improvement in methods or service instituted by such electrical utility.</w:t>
      </w:r>
      <w:r w:rsidRPr="00F70A33">
        <w:rPr>
          <w:color w:val="000000" w:themeColor="text1"/>
          <w:u w:color="000000" w:themeColor="text1"/>
        </w:rPr>
        <w:t xml:space="preserve"> </w:t>
      </w:r>
      <w:r w:rsidRPr="004B4045">
        <w:rPr>
          <w:color w:val="000000" w:themeColor="text1"/>
          <w:u w:val="single" w:color="000000" w:themeColor="text1"/>
        </w:rPr>
        <w:t xml:space="preserve">The </w:t>
      </w:r>
      <w:r w:rsidR="00FD7C8C">
        <w:rPr>
          <w:color w:val="000000" w:themeColor="text1"/>
          <w:u w:val="single" w:color="000000" w:themeColor="text1"/>
        </w:rPr>
        <w:t>c</w:t>
      </w:r>
      <w:r w:rsidRPr="004B4045">
        <w:rPr>
          <w:color w:val="000000" w:themeColor="text1"/>
          <w:u w:val="single" w:color="000000" w:themeColor="text1"/>
        </w:rPr>
        <w:t>ommission shall establish performance incentives and penalty mechanisms that directly tie an electric utility’s revenues to that utility’s achievement on performance metrics. There shall be no direct link between allowed revenues and investment levels. The performance incentives and penalty mechanisms shall apply to the regulation of electric utility rates pursuant to Article 7 of this Chapter.</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lastRenderedPageBreak/>
        <w:tab/>
      </w:r>
      <w:r w:rsidRPr="004B4045">
        <w:rPr>
          <w:color w:val="000000" w:themeColor="text1"/>
          <w:u w:val="single" w:color="000000" w:themeColor="text1"/>
        </w:rPr>
        <w:t>(B)</w:t>
      </w:r>
      <w:r w:rsidRPr="004B4045">
        <w:rPr>
          <w:color w:val="000000" w:themeColor="text1"/>
          <w:u w:color="000000" w:themeColor="text1"/>
        </w:rPr>
        <w:tab/>
      </w:r>
      <w:r w:rsidRPr="004B4045">
        <w:rPr>
          <w:color w:val="000000" w:themeColor="text1"/>
          <w:u w:val="single" w:color="000000" w:themeColor="text1"/>
        </w:rPr>
        <w:t>In developing performance incentives and penalty mechanisms, the commission’s review of electric utility performance shall consider, but is not limited to, the following:</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(1)</w:t>
      </w:r>
      <w:r w:rsidRPr="004B4045">
        <w:rPr>
          <w:color w:val="000000" w:themeColor="text1"/>
          <w:u w:color="000000" w:themeColor="text1"/>
        </w:rPr>
        <w:tab/>
      </w:r>
      <w:r w:rsidRPr="004B4045">
        <w:rPr>
          <w:color w:val="000000" w:themeColor="text1"/>
          <w:u w:val="single" w:color="000000" w:themeColor="text1"/>
        </w:rPr>
        <w:t>whether the implementation of one or more of the following economic incentives or cost recovery mechanisms would be in the public interest:</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(a)</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he establishment of a shared cost savings incentive mechanism designed to induce a public utility to reduce energy costs and operating costs and accelerate the implementation of energy cost reduction practices;</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(b)</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he establishment of a renewable energy curtailment mitigation incentive mechanism to encourage public utilities to implement curtailment mitigation practices when lower cost renewable energy is available but not utilized through the sharing of energy cost savings between the public utility, ratepayer, and affected renewable energy projects;</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(c)</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 xml:space="preserve">he establishment of a stranded cost recovery mechanism to encourage the accelerated retirement of an electric utility fossil fuel electric generation plant by allowing an electric utility to recover the stranded costs created by early retirement of a fossil generation </w:t>
      </w:r>
      <w:r w:rsidR="00504522" w:rsidRPr="004B4045">
        <w:rPr>
          <w:color w:val="000000" w:themeColor="text1"/>
          <w:u w:val="single" w:color="000000" w:themeColor="text1"/>
        </w:rPr>
        <w:t>plant; and</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(d)</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 xml:space="preserve">he establishment of differentiated authorized rates of return on common equity to encourage increased utility investments in transmission and distribution infrastructure, discourage an electric utility investment in fossil fuel electric generation plants to incentivize grid modernization, and disincentivize </w:t>
      </w:r>
      <w:r w:rsidR="00905267">
        <w:rPr>
          <w:color w:val="000000" w:themeColor="text1"/>
          <w:u w:val="single" w:color="000000" w:themeColor="text1"/>
        </w:rPr>
        <w:t>fossil generation, respectively;</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(2)</w:t>
      </w:r>
      <w:r w:rsidRPr="004B4045">
        <w:rPr>
          <w:color w:val="000000" w:themeColor="text1"/>
          <w:u w:color="000000" w:themeColor="text1"/>
        </w:rPr>
        <w:tab/>
      </w:r>
      <w:r w:rsidR="00FD7C8C">
        <w:rPr>
          <w:color w:val="000000" w:themeColor="text1"/>
          <w:u w:val="single" w:color="000000" w:themeColor="text1"/>
        </w:rPr>
        <w:t>v</w:t>
      </w:r>
      <w:r w:rsidRPr="004B4045">
        <w:rPr>
          <w:color w:val="000000" w:themeColor="text1"/>
          <w:u w:val="single" w:color="000000" w:themeColor="text1"/>
        </w:rPr>
        <w:t>olatility and affordability of electric rates and customer</w:t>
      </w:r>
      <w:r w:rsidR="00905267">
        <w:rPr>
          <w:color w:val="000000" w:themeColor="text1"/>
          <w:u w:val="single" w:color="000000" w:themeColor="text1"/>
        </w:rPr>
        <w:t>s’</w:t>
      </w:r>
      <w:r w:rsidRPr="004B4045">
        <w:rPr>
          <w:color w:val="000000" w:themeColor="text1"/>
          <w:u w:val="single" w:color="000000" w:themeColor="text1"/>
        </w:rPr>
        <w:t xml:space="preserve"> electric bills;</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(3)</w:t>
      </w:r>
      <w:r w:rsidRPr="004B4045">
        <w:rPr>
          <w:color w:val="000000" w:themeColor="text1"/>
          <w:u w:color="000000" w:themeColor="text1"/>
        </w:rPr>
        <w:tab/>
      </w:r>
      <w:r w:rsidR="00FD7C8C">
        <w:rPr>
          <w:color w:val="000000" w:themeColor="text1"/>
          <w:u w:val="single" w:color="000000" w:themeColor="text1"/>
        </w:rPr>
        <w:t>e</w:t>
      </w:r>
      <w:r w:rsidRPr="004B4045">
        <w:rPr>
          <w:color w:val="000000" w:themeColor="text1"/>
          <w:u w:val="single" w:color="000000" w:themeColor="text1"/>
        </w:rPr>
        <w:t>lectric service reliability;</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(4)</w:t>
      </w:r>
      <w:r w:rsidRPr="004B4045">
        <w:rPr>
          <w:color w:val="000000" w:themeColor="text1"/>
          <w:u w:color="000000" w:themeColor="text1"/>
        </w:rPr>
        <w:tab/>
      </w:r>
      <w:r w:rsidR="00FD7C8C">
        <w:rPr>
          <w:color w:val="000000" w:themeColor="text1"/>
          <w:u w:val="single" w:color="000000" w:themeColor="text1"/>
        </w:rPr>
        <w:t>c</w:t>
      </w:r>
      <w:r w:rsidRPr="004B4045">
        <w:rPr>
          <w:color w:val="000000" w:themeColor="text1"/>
          <w:u w:val="single" w:color="000000" w:themeColor="text1"/>
        </w:rPr>
        <w:t>ustomer engagement and satisfaction, including customer options for managing electricity costs;</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(5)</w:t>
      </w:r>
      <w:r w:rsidRPr="004B4045">
        <w:rPr>
          <w:color w:val="000000" w:themeColor="text1"/>
          <w:u w:color="000000" w:themeColor="text1"/>
        </w:rPr>
        <w:tab/>
      </w:r>
      <w:r w:rsidR="00FD7C8C">
        <w:rPr>
          <w:color w:val="000000" w:themeColor="text1"/>
          <w:u w:val="single" w:color="000000" w:themeColor="text1"/>
        </w:rPr>
        <w:t>a</w:t>
      </w:r>
      <w:r w:rsidRPr="004B4045">
        <w:rPr>
          <w:color w:val="000000" w:themeColor="text1"/>
          <w:u w:val="single" w:color="000000" w:themeColor="text1"/>
        </w:rPr>
        <w:t>ccess to utility system information, including</w:t>
      </w:r>
      <w:r w:rsidR="00905267">
        <w:rPr>
          <w:color w:val="000000" w:themeColor="text1"/>
          <w:u w:val="single" w:color="000000" w:themeColor="text1"/>
        </w:rPr>
        <w:t>,</w:t>
      </w:r>
      <w:r w:rsidRPr="004B4045">
        <w:rPr>
          <w:color w:val="000000" w:themeColor="text1"/>
          <w:u w:val="single" w:color="000000" w:themeColor="text1"/>
        </w:rPr>
        <w:t xml:space="preserve"> but not limited to</w:t>
      </w:r>
      <w:r w:rsidR="00905267">
        <w:rPr>
          <w:color w:val="000000" w:themeColor="text1"/>
          <w:u w:val="single" w:color="000000" w:themeColor="text1"/>
        </w:rPr>
        <w:t>,</w:t>
      </w:r>
      <w:r w:rsidRPr="004B4045">
        <w:rPr>
          <w:color w:val="000000" w:themeColor="text1"/>
          <w:u w:val="single" w:color="000000" w:themeColor="text1"/>
        </w:rPr>
        <w:t xml:space="preserve"> public access to electric system planning data and aggregated customer energy use data and individual access to granular information about an individual customer’s own energy use data;</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(6)</w:t>
      </w:r>
      <w:r w:rsidRPr="004B4045">
        <w:rPr>
          <w:color w:val="000000" w:themeColor="text1"/>
          <w:u w:color="000000" w:themeColor="text1"/>
        </w:rPr>
        <w:tab/>
      </w:r>
      <w:r w:rsidR="00FD7C8C">
        <w:rPr>
          <w:color w:val="000000" w:themeColor="text1"/>
          <w:u w:val="single" w:color="000000" w:themeColor="text1"/>
        </w:rPr>
        <w:t>r</w:t>
      </w:r>
      <w:r w:rsidRPr="004B4045">
        <w:rPr>
          <w:color w:val="000000" w:themeColor="text1"/>
          <w:u w:val="single" w:color="000000" w:themeColor="text1"/>
        </w:rPr>
        <w:t>apid integration of renewable energy sources, including quality interconnection of customer</w:t>
      </w:r>
      <w:r w:rsidR="00274C91">
        <w:rPr>
          <w:color w:val="000000" w:themeColor="text1"/>
          <w:u w:val="single" w:color="000000" w:themeColor="text1"/>
        </w:rPr>
        <w:noBreakHyphen/>
      </w:r>
      <w:r w:rsidRPr="004B4045">
        <w:rPr>
          <w:color w:val="000000" w:themeColor="text1"/>
          <w:u w:val="single" w:color="000000" w:themeColor="text1"/>
        </w:rPr>
        <w:t>sited resources; and</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(7)</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imely execution of competitive procurement, third</w:t>
      </w:r>
      <w:r w:rsidR="00274C91">
        <w:rPr>
          <w:color w:val="000000" w:themeColor="text1"/>
          <w:u w:val="single" w:color="000000" w:themeColor="text1"/>
        </w:rPr>
        <w:noBreakHyphen/>
      </w:r>
      <w:r w:rsidRPr="004B4045">
        <w:rPr>
          <w:color w:val="000000" w:themeColor="text1"/>
          <w:u w:val="single" w:color="000000" w:themeColor="text1"/>
        </w:rPr>
        <w:t>party interconnection, and other business processes.</w:t>
      </w:r>
    </w:p>
    <w:p w:rsidR="00F70A33" w:rsidRPr="00F70A33"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4045">
        <w:rPr>
          <w:color w:val="000000" w:themeColor="text1"/>
          <w:u w:color="000000" w:themeColor="text1"/>
        </w:rPr>
        <w:tab/>
      </w:r>
      <w:r w:rsidRPr="004B4045">
        <w:rPr>
          <w:color w:val="000000" w:themeColor="text1"/>
          <w:u w:val="single" w:color="000000" w:themeColor="text1"/>
        </w:rPr>
        <w:t>(C)</w:t>
      </w:r>
      <w:r w:rsidRPr="004B4045">
        <w:rPr>
          <w:color w:val="000000" w:themeColor="text1"/>
          <w:u w:color="000000" w:themeColor="text1"/>
        </w:rPr>
        <w:tab/>
      </w:r>
      <w:r w:rsidRPr="004B4045">
        <w:rPr>
          <w:color w:val="000000" w:themeColor="text1"/>
          <w:u w:val="single" w:color="000000" w:themeColor="text1"/>
        </w:rPr>
        <w:t>This section shall not apply to a member</w:t>
      </w:r>
      <w:r w:rsidR="00274C91">
        <w:rPr>
          <w:color w:val="000000" w:themeColor="text1"/>
          <w:u w:val="single" w:color="000000" w:themeColor="text1"/>
        </w:rPr>
        <w:noBreakHyphen/>
      </w:r>
      <w:r w:rsidRPr="004B4045">
        <w:rPr>
          <w:color w:val="000000" w:themeColor="text1"/>
          <w:u w:val="single" w:color="000000" w:themeColor="text1"/>
        </w:rPr>
        <w:t>owned cooperative electric uti</w:t>
      </w:r>
      <w:r>
        <w:rPr>
          <w:color w:val="000000" w:themeColor="text1"/>
          <w:u w:val="single" w:color="000000" w:themeColor="text1"/>
        </w:rPr>
        <w:t>lity.</w:t>
      </w:r>
      <w:r>
        <w:rPr>
          <w:color w:val="000000" w:themeColor="text1"/>
          <w:u w:color="000000" w:themeColor="text1"/>
        </w:rPr>
        <w:t>”</w:t>
      </w:r>
    </w:p>
    <w:p w:rsidR="00476F6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F60" w:rsidRPr="00522CE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0A33">
        <w:rPr>
          <w:rFonts w:eastAsia="Times New Roman"/>
        </w:rPr>
        <w:t>2</w:t>
      </w:r>
      <w:r>
        <w:rPr>
          <w:rFonts w:eastAsia="Times New Roman"/>
        </w:rPr>
        <w:t>.</w:t>
      </w:r>
      <w:r>
        <w:rPr>
          <w:rFonts w:eastAsia="Times New Roman"/>
        </w:rPr>
        <w:tab/>
        <w:t>This act takes effect upon approval by the Governor.</w:t>
      </w:r>
    </w:p>
    <w:p w:rsidR="00E16750" w:rsidRDefault="00274C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6589" w:rsidRDefault="00D16589" w:rsidP="00D16589">
      <w:pPr>
        <w:suppressAutoHyphens/>
        <w:jc w:val="both"/>
        <w:rPr>
          <w:rFonts w:eastAsia="Times New Roman"/>
        </w:rPr>
      </w:pPr>
    </w:p>
    <w:sectPr w:rsidR="00D16589" w:rsidSect="00D165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F60" w:rsidRDefault="00476F60" w:rsidP="00522CE0">
      <w:r>
        <w:separator/>
      </w:r>
    </w:p>
  </w:endnote>
  <w:endnote w:type="continuationSeparator" w:id="0">
    <w:p w:rsidR="00476F60" w:rsidRDefault="00476F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CC57B9-F557-4412-9419-3ACA5A4F9CE2}"/>
    <w:embedBold r:id="rId2" w:fontKey="{92A1F1E3-EB5F-4A61-866A-19C7012FEA5D}"/>
  </w:font>
  <w:font w:name="Calibri">
    <w:panose1 w:val="020F0502020204030204"/>
    <w:charset w:val="00"/>
    <w:family w:val="swiss"/>
    <w:pitch w:val="variable"/>
    <w:sig w:usb0="E00002FF" w:usb1="4000ACFF" w:usb2="00000001" w:usb3="00000000" w:csb0="0000019F" w:csb1="00000000"/>
    <w:embedRegular r:id="rId3" w:fontKey="{BE72D041-4171-46D0-BAD9-65FEA4980435}"/>
    <w:embedBold r:id="rId4" w:fontKey="{5463B191-E2E8-4FF3-965E-586A5EEBB3E4}"/>
  </w:font>
  <w:font w:name="Cambria">
    <w:panose1 w:val="02040503050406030204"/>
    <w:charset w:val="00"/>
    <w:family w:val="roman"/>
    <w:pitch w:val="variable"/>
    <w:sig w:usb0="E00002FF" w:usb1="400004FF" w:usb2="00000000" w:usb3="00000000" w:csb0="0000019F" w:csb1="00000000"/>
    <w:embedRegular r:id="rId5" w:fontKey="{815CEA60-E3EA-471F-8A05-DA647F62E2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589" w:rsidRPr="008F5591" w:rsidRDefault="00D16589" w:rsidP="008F5591">
    <w:pPr>
      <w:pStyle w:val="Footer"/>
      <w:tabs>
        <w:tab w:val="clear" w:pos="4680"/>
        <w:tab w:val="clear" w:pos="9360"/>
        <w:tab w:val="center" w:pos="2995"/>
      </w:tabs>
      <w:spacing w:before="120"/>
    </w:pPr>
    <w:r>
      <w:t>[137]</w:t>
    </w:r>
    <w:r>
      <w:tab/>
    </w:r>
    <w:r>
      <w:fldChar w:fldCharType="begin"/>
    </w:r>
    <w:r>
      <w:instrText xml:space="preserve"> PAGE  \* MERGEFORMAT </w:instrText>
    </w:r>
    <w:r>
      <w:fldChar w:fldCharType="separate"/>
    </w:r>
    <w:r w:rsidR="008D25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F60" w:rsidRDefault="00476F60" w:rsidP="00522CE0">
      <w:r>
        <w:separator/>
      </w:r>
    </w:p>
  </w:footnote>
  <w:footnote w:type="continuationSeparator" w:id="0">
    <w:p w:rsidR="00476F60" w:rsidRDefault="00476F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UTIL.SP.TD"/>
    <w:docVar w:name="CoverAttorneyInitials" w:val="SP"/>
    <w:docVar w:name="CoverAttorneyLastName" w:val="Parrish"/>
    <w:docVar w:name="CoverBillType" w:val="b"/>
    <w:docVar w:name="CoverSenator" w:val="TD"/>
    <w:docVar w:name="dvBillNumber" w:val="137"/>
    <w:docVar w:name="dvBillNumberPrefix" w:val="S. "/>
    <w:docVar w:name="dvOriginalBody" w:val="Senate"/>
    <w:docVar w:name="fulldraftpath" w:val="L:\S-RES\TD\001UTIL.SP.TD.DOCX"/>
    <w:docVar w:name="NameofBody" w:val="S"/>
    <w:docVar w:name="vgroup2" w:val="S-RES"/>
  </w:docVars>
  <w:rsids>
    <w:rsidRoot w:val="00476F6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74C91"/>
    <w:rsid w:val="002C1321"/>
    <w:rsid w:val="002C2031"/>
    <w:rsid w:val="002C5896"/>
    <w:rsid w:val="002D3BED"/>
    <w:rsid w:val="00307C2B"/>
    <w:rsid w:val="00315D04"/>
    <w:rsid w:val="00383247"/>
    <w:rsid w:val="003A5C6A"/>
    <w:rsid w:val="003D6E2B"/>
    <w:rsid w:val="003E7597"/>
    <w:rsid w:val="00413EBF"/>
    <w:rsid w:val="0044020F"/>
    <w:rsid w:val="00450668"/>
    <w:rsid w:val="00454138"/>
    <w:rsid w:val="00476F60"/>
    <w:rsid w:val="004813A2"/>
    <w:rsid w:val="004952FA"/>
    <w:rsid w:val="004B6A22"/>
    <w:rsid w:val="004D7F37"/>
    <w:rsid w:val="00504522"/>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7079"/>
    <w:rsid w:val="007A4390"/>
    <w:rsid w:val="007E5CB7"/>
    <w:rsid w:val="008314D2"/>
    <w:rsid w:val="00870F6F"/>
    <w:rsid w:val="008B2F42"/>
    <w:rsid w:val="008C3697"/>
    <w:rsid w:val="008D25F0"/>
    <w:rsid w:val="008E185F"/>
    <w:rsid w:val="008F023B"/>
    <w:rsid w:val="008F5591"/>
    <w:rsid w:val="00904E16"/>
    <w:rsid w:val="00905267"/>
    <w:rsid w:val="009162B3"/>
    <w:rsid w:val="00927C62"/>
    <w:rsid w:val="00954D6B"/>
    <w:rsid w:val="00983951"/>
    <w:rsid w:val="00984124"/>
    <w:rsid w:val="00984640"/>
    <w:rsid w:val="00995C37"/>
    <w:rsid w:val="009C118A"/>
    <w:rsid w:val="00A02011"/>
    <w:rsid w:val="00A25CE6"/>
    <w:rsid w:val="00A4011E"/>
    <w:rsid w:val="00A86015"/>
    <w:rsid w:val="00A9594E"/>
    <w:rsid w:val="00AE59C8"/>
    <w:rsid w:val="00B10098"/>
    <w:rsid w:val="00B434BC"/>
    <w:rsid w:val="00B5790D"/>
    <w:rsid w:val="00B945C5"/>
    <w:rsid w:val="00BA20EA"/>
    <w:rsid w:val="00BB5AFC"/>
    <w:rsid w:val="00BB7FD5"/>
    <w:rsid w:val="00BC0A56"/>
    <w:rsid w:val="00C45366"/>
    <w:rsid w:val="00C57023"/>
    <w:rsid w:val="00C74052"/>
    <w:rsid w:val="00CB187A"/>
    <w:rsid w:val="00CC0EC7"/>
    <w:rsid w:val="00CC251A"/>
    <w:rsid w:val="00CF2C98"/>
    <w:rsid w:val="00D04CED"/>
    <w:rsid w:val="00D1088B"/>
    <w:rsid w:val="00D1286F"/>
    <w:rsid w:val="00D14DE6"/>
    <w:rsid w:val="00D156D2"/>
    <w:rsid w:val="00D16589"/>
    <w:rsid w:val="00D35486"/>
    <w:rsid w:val="00D53E29"/>
    <w:rsid w:val="00D86943"/>
    <w:rsid w:val="00DA3C6B"/>
    <w:rsid w:val="00DA47B9"/>
    <w:rsid w:val="00DE5635"/>
    <w:rsid w:val="00E058D3"/>
    <w:rsid w:val="00E12CA0"/>
    <w:rsid w:val="00E16750"/>
    <w:rsid w:val="00E2236D"/>
    <w:rsid w:val="00E76AD9"/>
    <w:rsid w:val="00E86EE2"/>
    <w:rsid w:val="00E91E2F"/>
    <w:rsid w:val="00EA3546"/>
    <w:rsid w:val="00EB47AE"/>
    <w:rsid w:val="00EC34E1"/>
    <w:rsid w:val="00F0234A"/>
    <w:rsid w:val="00F05CF2"/>
    <w:rsid w:val="00F51241"/>
    <w:rsid w:val="00F52959"/>
    <w:rsid w:val="00F55884"/>
    <w:rsid w:val="00F70A33"/>
    <w:rsid w:val="00FB7F01"/>
    <w:rsid w:val="00FC0D36"/>
    <w:rsid w:val="00FC3A2B"/>
    <w:rsid w:val="00FD7C8C"/>
    <w:rsid w:val="00FE2D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F0947F5-D913-4FDD-92F7-F7FA22C6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165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3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628</Words>
  <Characters>3865</Characters>
  <Application>Microsoft Office Word</Application>
  <DocSecurity>0</DocSecurity>
  <Lines>121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137: Electric utilities - South Carolina Legislature Online</dc:title>
  <dc:subject/>
  <dc:creator>%USERNAME%</dc:creator>
  <cp:keywords/>
  <dc:description/>
  <cp:lastModifiedBy>S Volk</cp:lastModifiedBy>
  <cp:revision>2</cp:revision>
  <cp:lastPrinted>2018-10-25T19:21:00Z</cp:lastPrinted>
  <dcterms:created xsi:type="dcterms:W3CDTF">2019-01-16T18:07:00Z</dcterms:created>
  <dcterms:modified xsi:type="dcterms:W3CDTF">2019-01-16T18:07:00Z</dcterms:modified>
</cp:coreProperties>
</file>