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B5319">
        <w:rPr>
          <w:rFonts w:eastAsia="Times New Roman" w:cs="Times New Roman"/>
          <w:b/>
          <w:szCs w:val="20"/>
        </w:rPr>
        <w:t>South Carolina General Assembly</w:t>
      </w:r>
    </w:p>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B5319">
        <w:rPr>
          <w:rFonts w:eastAsia="Times New Roman" w:cs="Times New Roman"/>
          <w:szCs w:val="20"/>
        </w:rPr>
        <w:t>123rd Session, 2019-2020</w:t>
      </w:r>
    </w:p>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5319" w:rsidRPr="00DB5319" w:rsidRDefault="00824B4A"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A174, R175, H3755</w:t>
      </w:r>
    </w:p>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5319">
        <w:rPr>
          <w:rFonts w:eastAsia="Times New Roman" w:cs="Times New Roman"/>
          <w:b/>
          <w:szCs w:val="20"/>
        </w:rPr>
        <w:t>STATUS INFORMATION</w:t>
      </w:r>
    </w:p>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5319">
        <w:rPr>
          <w:rFonts w:eastAsia="Times New Roman" w:cs="Times New Roman"/>
          <w:szCs w:val="20"/>
        </w:rPr>
        <w:t>General Bill</w:t>
      </w:r>
    </w:p>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5319">
        <w:rPr>
          <w:rFonts w:eastAsia="Times New Roman" w:cs="Times New Roman"/>
          <w:szCs w:val="20"/>
        </w:rPr>
        <w:t>Sponsors: Reps. Sandifer, Spires and Anderson</w:t>
      </w:r>
    </w:p>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5319">
        <w:rPr>
          <w:rFonts w:eastAsia="Times New Roman" w:cs="Times New Roman"/>
          <w:szCs w:val="20"/>
        </w:rPr>
        <w:t>Document Path: l:\council\bills\bh\7132cz19.docx</w:t>
      </w:r>
    </w:p>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3AAD" w:rsidRDefault="003A3AAD"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2019</w:t>
      </w:r>
    </w:p>
    <w:p w:rsidR="003A3AAD" w:rsidRDefault="003A3AAD"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20, 2019</w:t>
      </w:r>
    </w:p>
    <w:p w:rsidR="003A3AAD" w:rsidRDefault="003A3AAD"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22, 2020</w:t>
      </w:r>
    </w:p>
    <w:p w:rsidR="003A3AAD" w:rsidRDefault="003A3AAD"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23, 2020</w:t>
      </w:r>
    </w:p>
    <w:p w:rsidR="003A3AAD" w:rsidRDefault="003A3AAD"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30, 2020, Signed</w:t>
      </w:r>
    </w:p>
    <w:p w:rsidR="003A3AAD" w:rsidRDefault="003A3AAD"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5319">
        <w:rPr>
          <w:rFonts w:eastAsia="Times New Roman" w:cs="Times New Roman"/>
          <w:szCs w:val="20"/>
        </w:rPr>
        <w:t>Summary: Auto insurance coverage</w:t>
      </w:r>
    </w:p>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5319" w:rsidRPr="00DB5319" w:rsidRDefault="00DB5319" w:rsidP="00DB5319">
      <w:pPr>
        <w:widowControl w:val="0"/>
        <w:tabs>
          <w:tab w:val="center" w:pos="590"/>
          <w:tab w:val="center" w:pos="1440"/>
          <w:tab w:val="left" w:pos="1872"/>
          <w:tab w:val="left" w:pos="9187"/>
        </w:tabs>
        <w:rPr>
          <w:rFonts w:eastAsia="Times New Roman" w:cs="Times New Roman"/>
          <w:szCs w:val="20"/>
        </w:rPr>
      </w:pPr>
      <w:r w:rsidRPr="00DB5319">
        <w:rPr>
          <w:rFonts w:eastAsia="Times New Roman" w:cs="Times New Roman"/>
          <w:b/>
          <w:szCs w:val="20"/>
        </w:rPr>
        <w:t>HISTORY OF LEGISLATIVE ACTIONS</w:t>
      </w:r>
    </w:p>
    <w:p w:rsidR="00DB5319" w:rsidRPr="00DB5319" w:rsidRDefault="00DB5319" w:rsidP="00DB5319">
      <w:pPr>
        <w:widowControl w:val="0"/>
        <w:tabs>
          <w:tab w:val="center" w:pos="590"/>
          <w:tab w:val="center" w:pos="1440"/>
          <w:tab w:val="left" w:pos="1872"/>
          <w:tab w:val="left" w:pos="9187"/>
        </w:tabs>
        <w:rPr>
          <w:rFonts w:eastAsia="Times New Roman" w:cs="Times New Roman"/>
          <w:szCs w:val="20"/>
        </w:rPr>
      </w:pPr>
    </w:p>
    <w:p w:rsidR="00DB5319" w:rsidRPr="00DB5319" w:rsidRDefault="00DB5319" w:rsidP="00DB5319">
      <w:pPr>
        <w:widowControl w:val="0"/>
        <w:tabs>
          <w:tab w:val="center" w:pos="590"/>
          <w:tab w:val="center" w:pos="1440"/>
          <w:tab w:val="left" w:pos="1872"/>
          <w:tab w:val="left" w:pos="9187"/>
        </w:tabs>
        <w:rPr>
          <w:rFonts w:eastAsia="Times New Roman" w:cs="Times New Roman"/>
          <w:szCs w:val="20"/>
        </w:rPr>
      </w:pPr>
      <w:r w:rsidRPr="00DB5319">
        <w:rPr>
          <w:rFonts w:eastAsia="Times New Roman" w:cs="Times New Roman"/>
          <w:szCs w:val="20"/>
          <w:u w:val="single"/>
        </w:rPr>
        <w:tab/>
        <w:t>Date</w:t>
      </w:r>
      <w:r w:rsidRPr="00DB5319">
        <w:rPr>
          <w:rFonts w:eastAsia="Times New Roman" w:cs="Times New Roman"/>
          <w:szCs w:val="20"/>
          <w:u w:val="single"/>
        </w:rPr>
        <w:tab/>
        <w:t>Body</w:t>
      </w:r>
      <w:r w:rsidRPr="00DB5319">
        <w:rPr>
          <w:rFonts w:eastAsia="Times New Roman" w:cs="Times New Roman"/>
          <w:szCs w:val="20"/>
          <w:u w:val="single"/>
        </w:rPr>
        <w:tab/>
        <w:t>Action Description with journal page number</w:t>
      </w:r>
      <w:r w:rsidRPr="00DB5319">
        <w:rPr>
          <w:rFonts w:eastAsia="Times New Roman" w:cs="Times New Roman"/>
          <w:szCs w:val="20"/>
          <w:u w:val="single"/>
        </w:rPr>
        <w:tab/>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House</w:t>
      </w:r>
      <w:r>
        <w:rPr>
          <w:rFonts w:cs="Times New Roman"/>
        </w:rPr>
        <w:tab/>
        <w:t>Introduced and read first time (</w:t>
      </w:r>
      <w:hyperlink r:id="rId7" w:history="1">
        <w:r w:rsidRPr="009E4FCD">
          <w:rPr>
            <w:rStyle w:val="Hyperlink"/>
            <w:rFonts w:cs="Times New Roman"/>
          </w:rPr>
          <w:t>House Journal</w:t>
        </w:r>
        <w:r w:rsidRPr="009E4FCD">
          <w:rPr>
            <w:rStyle w:val="Hyperlink"/>
            <w:rFonts w:cs="Times New Roman"/>
          </w:rPr>
          <w:noBreakHyphen/>
          <w:t>page 43</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House</w:t>
      </w:r>
      <w:r>
        <w:rPr>
          <w:rFonts w:cs="Times New Roman"/>
        </w:rPr>
        <w:tab/>
        <w:t xml:space="preserve">Referred to Committee on </w:t>
      </w:r>
      <w:r w:rsidRPr="009E4FCD">
        <w:rPr>
          <w:rFonts w:cs="Times New Roman"/>
          <w:b/>
        </w:rPr>
        <w:t>Labor, Commerce and Industry</w:t>
      </w:r>
      <w:r>
        <w:rPr>
          <w:rFonts w:cs="Times New Roman"/>
        </w:rPr>
        <w:t xml:space="preserve"> (</w:t>
      </w:r>
      <w:hyperlink r:id="rId8" w:history="1">
        <w:r w:rsidRPr="009E4FCD">
          <w:rPr>
            <w:rStyle w:val="Hyperlink"/>
            <w:rFonts w:cs="Times New Roman"/>
          </w:rPr>
          <w:t>House Journal</w:t>
        </w:r>
        <w:r w:rsidRPr="009E4FCD">
          <w:rPr>
            <w:rStyle w:val="Hyperlink"/>
            <w:rFonts w:cs="Times New Roman"/>
          </w:rPr>
          <w:noBreakHyphen/>
          <w:t>page 43</w:t>
        </w:r>
      </w:hyperlink>
      <w:bookmarkStart w:id="0" w:name="_GoBack"/>
      <w:bookmarkEnd w:id="0"/>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t>Member(s) request name added as sponsor: Anderson</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t xml:space="preserve">Committee report: Favorable </w:t>
      </w:r>
      <w:r w:rsidRPr="009E4FCD">
        <w:rPr>
          <w:rFonts w:cs="Times New Roman"/>
          <w:b/>
        </w:rPr>
        <w:t>Labor, Commerce and Industry</w:t>
      </w:r>
      <w:r>
        <w:rPr>
          <w:rFonts w:cs="Times New Roman"/>
        </w:rPr>
        <w:t xml:space="preserve"> (</w:t>
      </w:r>
      <w:hyperlink r:id="rId9" w:history="1">
        <w:r w:rsidRPr="009E4FCD">
          <w:rPr>
            <w:rStyle w:val="Hyperlink"/>
            <w:rFonts w:cs="Times New Roman"/>
          </w:rPr>
          <w:t>House Journal</w:t>
        </w:r>
        <w:r w:rsidRPr="009E4FCD">
          <w:rPr>
            <w:rStyle w:val="Hyperlink"/>
            <w:rFonts w:cs="Times New Roman"/>
          </w:rPr>
          <w:noBreakHyphen/>
          <w:t>page 52</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t>Read second time (</w:t>
      </w:r>
      <w:hyperlink r:id="rId10" w:history="1">
        <w:r w:rsidRPr="009E4FCD">
          <w:rPr>
            <w:rStyle w:val="Hyperlink"/>
            <w:rFonts w:cs="Times New Roman"/>
          </w:rPr>
          <w:t>House Journal</w:t>
        </w:r>
        <w:r w:rsidRPr="009E4FCD">
          <w:rPr>
            <w:rStyle w:val="Hyperlink"/>
            <w:rFonts w:cs="Times New Roman"/>
          </w:rPr>
          <w:noBreakHyphen/>
          <w:t>page 46</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t>Roll call Yeas</w:t>
      </w:r>
      <w:r>
        <w:rPr>
          <w:rFonts w:cs="Times New Roman"/>
        </w:rPr>
        <w:noBreakHyphen/>
        <w:t>78  Nays</w:t>
      </w:r>
      <w:r>
        <w:rPr>
          <w:rFonts w:cs="Times New Roman"/>
        </w:rPr>
        <w:noBreakHyphen/>
        <w:t>15 (</w:t>
      </w:r>
      <w:hyperlink r:id="rId11" w:history="1">
        <w:r w:rsidRPr="009E4FCD">
          <w:rPr>
            <w:rStyle w:val="Hyperlink"/>
            <w:rFonts w:cs="Times New Roman"/>
          </w:rPr>
          <w:t>House Journal</w:t>
        </w:r>
        <w:r w:rsidRPr="009E4FCD">
          <w:rPr>
            <w:rStyle w:val="Hyperlink"/>
            <w:rFonts w:cs="Times New Roman"/>
          </w:rPr>
          <w:noBreakHyphen/>
          <w:t>page 47</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t>Debate adjourned until  Tues., 3</w:t>
      </w:r>
      <w:r>
        <w:rPr>
          <w:rFonts w:cs="Times New Roman"/>
        </w:rPr>
        <w:noBreakHyphen/>
        <w:t>19</w:t>
      </w:r>
      <w:r>
        <w:rPr>
          <w:rFonts w:cs="Times New Roman"/>
        </w:rPr>
        <w:noBreakHyphen/>
        <w:t>19 (</w:t>
      </w:r>
      <w:hyperlink r:id="rId12" w:history="1">
        <w:r w:rsidRPr="009E4FCD">
          <w:rPr>
            <w:rStyle w:val="Hyperlink"/>
            <w:rFonts w:cs="Times New Roman"/>
          </w:rPr>
          <w:t>House Journal</w:t>
        </w:r>
        <w:r w:rsidRPr="009E4FCD">
          <w:rPr>
            <w:rStyle w:val="Hyperlink"/>
            <w:rFonts w:cs="Times New Roman"/>
          </w:rPr>
          <w:noBreakHyphen/>
          <w:t>page 10</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t>Amended (</w:t>
      </w:r>
      <w:hyperlink r:id="rId13" w:history="1">
        <w:r w:rsidRPr="009E4FCD">
          <w:rPr>
            <w:rStyle w:val="Hyperlink"/>
            <w:rFonts w:cs="Times New Roman"/>
          </w:rPr>
          <w:t>House Journal</w:t>
        </w:r>
        <w:r w:rsidRPr="009E4FCD">
          <w:rPr>
            <w:rStyle w:val="Hyperlink"/>
            <w:rFonts w:cs="Times New Roman"/>
          </w:rPr>
          <w:noBreakHyphen/>
          <w:t>page 8</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t>Read third time and sent to Senate (</w:t>
      </w:r>
      <w:hyperlink r:id="rId14" w:history="1">
        <w:r w:rsidRPr="009E4FCD">
          <w:rPr>
            <w:rStyle w:val="Hyperlink"/>
            <w:rFonts w:cs="Times New Roman"/>
          </w:rPr>
          <w:t>House Journal</w:t>
        </w:r>
        <w:r w:rsidRPr="009E4FCD">
          <w:rPr>
            <w:rStyle w:val="Hyperlink"/>
            <w:rFonts w:cs="Times New Roman"/>
          </w:rPr>
          <w:noBreakHyphen/>
          <w:t>page 8</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t>Roll call Yeas</w:t>
      </w:r>
      <w:r>
        <w:rPr>
          <w:rFonts w:cs="Times New Roman"/>
        </w:rPr>
        <w:noBreakHyphen/>
        <w:t>92  Nays</w:t>
      </w:r>
      <w:r>
        <w:rPr>
          <w:rFonts w:cs="Times New Roman"/>
        </w:rPr>
        <w:noBreakHyphen/>
        <w:t>4 (</w:t>
      </w:r>
      <w:hyperlink r:id="rId15" w:history="1">
        <w:r w:rsidRPr="009E4FCD">
          <w:rPr>
            <w:rStyle w:val="Hyperlink"/>
            <w:rFonts w:cs="Times New Roman"/>
          </w:rPr>
          <w:t>House Journal</w:t>
        </w:r>
        <w:r w:rsidRPr="009E4FCD">
          <w:rPr>
            <w:rStyle w:val="Hyperlink"/>
            <w:rFonts w:cs="Times New Roman"/>
          </w:rPr>
          <w:noBreakHyphen/>
          <w:t>page 10</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t>Introduced and read first time (</w:t>
      </w:r>
      <w:hyperlink r:id="rId16" w:history="1">
        <w:r w:rsidRPr="009E4FCD">
          <w:rPr>
            <w:rStyle w:val="Hyperlink"/>
            <w:rFonts w:cs="Times New Roman"/>
          </w:rPr>
          <w:t>Senate Journal</w:t>
        </w:r>
        <w:r w:rsidRPr="009E4FCD">
          <w:rPr>
            <w:rStyle w:val="Hyperlink"/>
            <w:rFonts w:cs="Times New Roman"/>
          </w:rPr>
          <w:noBreakHyphen/>
          <w:t>page 10</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t xml:space="preserve">Referred to Committee on </w:t>
      </w:r>
      <w:r w:rsidRPr="009E4FCD">
        <w:rPr>
          <w:rFonts w:cs="Times New Roman"/>
          <w:b/>
        </w:rPr>
        <w:t>Banking and Insurance</w:t>
      </w:r>
      <w:r>
        <w:rPr>
          <w:rFonts w:cs="Times New Roman"/>
        </w:rPr>
        <w:t xml:space="preserve"> (</w:t>
      </w:r>
      <w:hyperlink r:id="rId17" w:history="1">
        <w:r w:rsidRPr="009E4FCD">
          <w:rPr>
            <w:rStyle w:val="Hyperlink"/>
            <w:rFonts w:cs="Times New Roman"/>
          </w:rPr>
          <w:t>Senate Journal</w:t>
        </w:r>
        <w:r w:rsidRPr="009E4FCD">
          <w:rPr>
            <w:rStyle w:val="Hyperlink"/>
            <w:rFonts w:cs="Times New Roman"/>
          </w:rPr>
          <w:noBreakHyphen/>
          <w:t>page 10</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Senate</w:t>
      </w:r>
      <w:r>
        <w:rPr>
          <w:rFonts w:cs="Times New Roman"/>
        </w:rPr>
        <w:tab/>
        <w:t xml:space="preserve">Committee report: Favorable </w:t>
      </w:r>
      <w:r w:rsidRPr="009E4FCD">
        <w:rPr>
          <w:rFonts w:cs="Times New Roman"/>
          <w:b/>
        </w:rPr>
        <w:t>Banking and Insurance</w:t>
      </w:r>
      <w:r>
        <w:rPr>
          <w:rFonts w:cs="Times New Roman"/>
        </w:rPr>
        <w:t xml:space="preserve"> (</w:t>
      </w:r>
      <w:hyperlink r:id="rId18" w:history="1">
        <w:r w:rsidRPr="009E4FCD">
          <w:rPr>
            <w:rStyle w:val="Hyperlink"/>
            <w:rFonts w:cs="Times New Roman"/>
          </w:rPr>
          <w:t>Senate Journal</w:t>
        </w:r>
        <w:r w:rsidRPr="009E4FCD">
          <w:rPr>
            <w:rStyle w:val="Hyperlink"/>
            <w:rFonts w:cs="Times New Roman"/>
          </w:rPr>
          <w:noBreakHyphen/>
          <w:t>page 11</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t>Amended (</w:t>
      </w:r>
      <w:hyperlink r:id="rId19" w:history="1">
        <w:r w:rsidRPr="009E4FCD">
          <w:rPr>
            <w:rStyle w:val="Hyperlink"/>
            <w:rFonts w:cs="Times New Roman"/>
          </w:rPr>
          <w:t>Senate Journal</w:t>
        </w:r>
        <w:r w:rsidRPr="009E4FCD">
          <w:rPr>
            <w:rStyle w:val="Hyperlink"/>
            <w:rFonts w:cs="Times New Roman"/>
          </w:rPr>
          <w:noBreakHyphen/>
          <w:t>page 154</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t>Read second time (</w:t>
      </w:r>
      <w:hyperlink r:id="rId20" w:history="1">
        <w:r w:rsidRPr="009E4FCD">
          <w:rPr>
            <w:rStyle w:val="Hyperlink"/>
            <w:rFonts w:cs="Times New Roman"/>
          </w:rPr>
          <w:t>Senate Journal</w:t>
        </w:r>
        <w:r w:rsidRPr="009E4FCD">
          <w:rPr>
            <w:rStyle w:val="Hyperlink"/>
            <w:rFonts w:cs="Times New Roman"/>
          </w:rPr>
          <w:noBreakHyphen/>
          <w:t>page 154</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Amended (</w:t>
      </w:r>
      <w:hyperlink r:id="rId21" w:history="1">
        <w:r w:rsidRPr="009E4FCD">
          <w:rPr>
            <w:rStyle w:val="Hyperlink"/>
            <w:rFonts w:cs="Times New Roman"/>
          </w:rPr>
          <w:t>Senate Journal</w:t>
        </w:r>
        <w:r w:rsidRPr="009E4FCD">
          <w:rPr>
            <w:rStyle w:val="Hyperlink"/>
            <w:rFonts w:cs="Times New Roman"/>
          </w:rPr>
          <w:noBreakHyphen/>
          <w:t>page 24</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Read third time and returned to House with amendments (</w:t>
      </w:r>
      <w:hyperlink r:id="rId22" w:history="1">
        <w:r w:rsidRPr="009E4FCD">
          <w:rPr>
            <w:rStyle w:val="Hyperlink"/>
            <w:rFonts w:cs="Times New Roman"/>
          </w:rPr>
          <w:t>Senate Journal</w:t>
        </w:r>
        <w:r w:rsidRPr="009E4FCD">
          <w:rPr>
            <w:rStyle w:val="Hyperlink"/>
            <w:rFonts w:cs="Times New Roman"/>
          </w:rPr>
          <w:noBreakHyphen/>
          <w:t>page 24</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Senate amendment amended (</w:t>
      </w:r>
      <w:hyperlink r:id="rId23" w:history="1">
        <w:r w:rsidRPr="009E4FCD">
          <w:rPr>
            <w:rStyle w:val="Hyperlink"/>
            <w:rFonts w:cs="Times New Roman"/>
          </w:rPr>
          <w:t>House Journal</w:t>
        </w:r>
        <w:r w:rsidRPr="009E4FCD">
          <w:rPr>
            <w:rStyle w:val="Hyperlink"/>
            <w:rFonts w:cs="Times New Roman"/>
          </w:rPr>
          <w:noBreakHyphen/>
          <w:t>page 73</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Roll call Yeas</w:t>
      </w:r>
      <w:r>
        <w:rPr>
          <w:rFonts w:cs="Times New Roman"/>
        </w:rPr>
        <w:noBreakHyphen/>
        <w:t>103  Nays</w:t>
      </w:r>
      <w:r>
        <w:rPr>
          <w:rFonts w:cs="Times New Roman"/>
        </w:rPr>
        <w:noBreakHyphen/>
        <w:t>2 (</w:t>
      </w:r>
      <w:hyperlink r:id="rId24" w:history="1">
        <w:r w:rsidRPr="009E4FCD">
          <w:rPr>
            <w:rStyle w:val="Hyperlink"/>
            <w:rFonts w:cs="Times New Roman"/>
          </w:rPr>
          <w:t>House Journal</w:t>
        </w:r>
        <w:r w:rsidRPr="009E4FCD">
          <w:rPr>
            <w:rStyle w:val="Hyperlink"/>
            <w:rFonts w:cs="Times New Roman"/>
          </w:rPr>
          <w:noBreakHyphen/>
          <w:t>page 73</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Returned to Senate with amendments (</w:t>
      </w:r>
      <w:hyperlink r:id="rId25" w:history="1">
        <w:r w:rsidRPr="009E4FCD">
          <w:rPr>
            <w:rStyle w:val="Hyperlink"/>
            <w:rFonts w:cs="Times New Roman"/>
          </w:rPr>
          <w:t>House Journal</w:t>
        </w:r>
        <w:r w:rsidRPr="009E4FCD">
          <w:rPr>
            <w:rStyle w:val="Hyperlink"/>
            <w:rFonts w:cs="Times New Roman"/>
          </w:rPr>
          <w:noBreakHyphen/>
          <w:t>page 73</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r>
      <w:r>
        <w:rPr>
          <w:rFonts w:cs="Times New Roman"/>
        </w:rPr>
        <w:tab/>
        <w:t>Scrivener's error corrected</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Concurred in House amendment and enrolled (</w:t>
      </w:r>
      <w:hyperlink r:id="rId26" w:history="1">
        <w:r w:rsidRPr="009E4FCD">
          <w:rPr>
            <w:rStyle w:val="Hyperlink"/>
            <w:rFonts w:cs="Times New Roman"/>
          </w:rPr>
          <w:t>Senate Journal</w:t>
        </w:r>
        <w:r w:rsidRPr="009E4FCD">
          <w:rPr>
            <w:rStyle w:val="Hyperlink"/>
            <w:rFonts w:cs="Times New Roman"/>
          </w:rPr>
          <w:noBreakHyphen/>
          <w:t>page 141</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Roll call Ayes</w:t>
      </w:r>
      <w:r>
        <w:rPr>
          <w:rFonts w:cs="Times New Roman"/>
        </w:rPr>
        <w:noBreakHyphen/>
        <w:t>33  Nays</w:t>
      </w:r>
      <w:r>
        <w:rPr>
          <w:rFonts w:cs="Times New Roman"/>
        </w:rPr>
        <w:noBreakHyphen/>
        <w:t>0 (</w:t>
      </w:r>
      <w:hyperlink r:id="rId27" w:history="1">
        <w:r w:rsidRPr="009E4FCD">
          <w:rPr>
            <w:rStyle w:val="Hyperlink"/>
            <w:rFonts w:cs="Times New Roman"/>
          </w:rPr>
          <w:t>Senate Journal</w:t>
        </w:r>
        <w:r w:rsidRPr="009E4FCD">
          <w:rPr>
            <w:rStyle w:val="Hyperlink"/>
            <w:rFonts w:cs="Times New Roman"/>
          </w:rPr>
          <w:noBreakHyphen/>
          <w:t>page 141</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175</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9/30/2020</w:t>
      </w:r>
      <w:r>
        <w:rPr>
          <w:rFonts w:cs="Times New Roman"/>
        </w:rPr>
        <w:tab/>
      </w:r>
      <w:r>
        <w:rPr>
          <w:rFonts w:cs="Times New Roman"/>
        </w:rPr>
        <w:tab/>
        <w:t>Signed By Governor (</w:t>
      </w:r>
      <w:hyperlink r:id="rId28" w:history="1">
        <w:r w:rsidRPr="009E4FCD">
          <w:rPr>
            <w:rStyle w:val="Hyperlink"/>
            <w:rFonts w:cs="Times New Roman"/>
          </w:rPr>
          <w:t>Senate Journal</w:t>
        </w:r>
        <w:r w:rsidRPr="009E4FCD">
          <w:rPr>
            <w:rStyle w:val="Hyperlink"/>
            <w:rFonts w:cs="Times New Roman"/>
          </w:rPr>
          <w:noBreakHyphen/>
          <w:t>page 6</w:t>
        </w:r>
      </w:hyperlink>
      <w:r>
        <w:rPr>
          <w:rFonts w:cs="Times New Roman"/>
        </w:rPr>
        <w:t>)</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09/30/20</w:t>
      </w:r>
    </w:p>
    <w:p w:rsidR="00824B4A" w:rsidRDefault="00824B4A" w:rsidP="00824B4A">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Act No.  174</w:t>
      </w:r>
    </w:p>
    <w:p w:rsidR="00824B4A" w:rsidRDefault="00824B4A" w:rsidP="00824B4A">
      <w:pPr>
        <w:widowControl w:val="0"/>
        <w:tabs>
          <w:tab w:val="right" w:pos="1008"/>
          <w:tab w:val="left" w:pos="1152"/>
          <w:tab w:val="left" w:pos="1872"/>
          <w:tab w:val="left" w:pos="9187"/>
        </w:tabs>
        <w:ind w:left="2088" w:hanging="2088"/>
        <w:rPr>
          <w:rFonts w:cs="Times New Roman"/>
        </w:rPr>
      </w:pPr>
    </w:p>
    <w:p w:rsidR="00DB5319" w:rsidRPr="00DB5319" w:rsidRDefault="00DB5319" w:rsidP="00DB5319">
      <w:pPr>
        <w:widowControl w:val="0"/>
        <w:tabs>
          <w:tab w:val="right" w:pos="1008"/>
          <w:tab w:val="left" w:pos="1152"/>
          <w:tab w:val="left" w:pos="1872"/>
          <w:tab w:val="left" w:pos="9187"/>
        </w:tabs>
        <w:ind w:left="2088" w:hanging="2088"/>
        <w:rPr>
          <w:rFonts w:eastAsia="Times New Roman" w:cs="Times New Roman"/>
          <w:szCs w:val="20"/>
        </w:rPr>
      </w:pPr>
      <w:r w:rsidRPr="00DB5319">
        <w:rPr>
          <w:rFonts w:eastAsia="Times New Roman" w:cs="Times New Roman"/>
          <w:szCs w:val="20"/>
        </w:rPr>
        <w:t xml:space="preserve">View the latest </w:t>
      </w:r>
      <w:hyperlink r:id="rId29" w:history="1">
        <w:r w:rsidRPr="00DB5319">
          <w:rPr>
            <w:rFonts w:eastAsia="Times New Roman" w:cs="Times New Roman"/>
            <w:color w:val="0000FF" w:themeColor="hyperlink"/>
            <w:szCs w:val="20"/>
            <w:u w:val="single"/>
          </w:rPr>
          <w:t>legislative information</w:t>
        </w:r>
      </w:hyperlink>
      <w:r w:rsidRPr="00DB5319">
        <w:rPr>
          <w:rFonts w:eastAsia="Times New Roman" w:cs="Times New Roman"/>
          <w:szCs w:val="20"/>
        </w:rPr>
        <w:t xml:space="preserve"> at the website</w:t>
      </w:r>
    </w:p>
    <w:p w:rsidR="00DB5319" w:rsidRPr="00DB5319" w:rsidRDefault="00DB5319" w:rsidP="00DB5319">
      <w:pPr>
        <w:widowControl w:val="0"/>
        <w:tabs>
          <w:tab w:val="right" w:pos="1008"/>
          <w:tab w:val="left" w:pos="1152"/>
          <w:tab w:val="left" w:pos="1872"/>
          <w:tab w:val="left" w:pos="9187"/>
        </w:tabs>
        <w:ind w:left="2088" w:hanging="2088"/>
        <w:rPr>
          <w:rFonts w:eastAsia="Times New Roman" w:cs="Times New Roman"/>
          <w:szCs w:val="20"/>
        </w:rPr>
      </w:pPr>
    </w:p>
    <w:p w:rsidR="00DB5319" w:rsidRPr="00DB5319" w:rsidRDefault="00DB5319" w:rsidP="00DB5319">
      <w:pPr>
        <w:widowControl w:val="0"/>
        <w:tabs>
          <w:tab w:val="right" w:pos="1008"/>
          <w:tab w:val="left" w:pos="1152"/>
          <w:tab w:val="left" w:pos="1872"/>
          <w:tab w:val="left" w:pos="9187"/>
        </w:tabs>
        <w:ind w:left="2088" w:hanging="2088"/>
        <w:rPr>
          <w:rFonts w:eastAsia="Times New Roman" w:cs="Times New Roman"/>
          <w:szCs w:val="20"/>
        </w:rPr>
      </w:pPr>
    </w:p>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B5319">
        <w:rPr>
          <w:rFonts w:eastAsia="Times New Roman" w:cs="Times New Roman"/>
          <w:b/>
          <w:szCs w:val="20"/>
        </w:rPr>
        <w:t>VERSIONS OF THIS BILL</w:t>
      </w:r>
    </w:p>
    <w:p w:rsidR="00DB5319" w:rsidRPr="00DB5319" w:rsidRDefault="00DB5319"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B5319" w:rsidRPr="00DB5319" w:rsidRDefault="00B55B48" w:rsidP="00DB5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DB5319" w:rsidRPr="00DB5319">
          <w:rPr>
            <w:rFonts w:eastAsia="Times New Roman" w:cs="Times New Roman"/>
            <w:color w:val="0000FF" w:themeColor="hyperlink"/>
            <w:szCs w:val="20"/>
            <w:u w:val="single"/>
          </w:rPr>
          <w:t>1/24/2019</w:t>
        </w:r>
      </w:hyperlink>
    </w:p>
    <w:p w:rsidR="00DB5319" w:rsidRPr="00DB5319" w:rsidRDefault="00B55B48" w:rsidP="00DB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DB5319" w:rsidRPr="00DB5319">
          <w:rPr>
            <w:rFonts w:eastAsia="Times New Roman" w:cs="Times New Roman"/>
            <w:color w:val="0000FF" w:themeColor="hyperlink"/>
            <w:szCs w:val="20"/>
            <w:u w:val="single"/>
          </w:rPr>
          <w:t>2/28/2019</w:t>
        </w:r>
      </w:hyperlink>
    </w:p>
    <w:p w:rsidR="00DB5319" w:rsidRPr="00DB5319" w:rsidRDefault="00B55B48" w:rsidP="00DB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DB5319" w:rsidRPr="00DB5319">
          <w:rPr>
            <w:rFonts w:eastAsia="Times New Roman" w:cs="Times New Roman"/>
            <w:color w:val="0000FF" w:themeColor="hyperlink"/>
            <w:szCs w:val="20"/>
            <w:u w:val="single"/>
          </w:rPr>
          <w:t>3/19/2019</w:t>
        </w:r>
      </w:hyperlink>
    </w:p>
    <w:p w:rsidR="00DB5319" w:rsidRPr="00DB5319" w:rsidRDefault="00B55B48" w:rsidP="00DB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DB5319" w:rsidRPr="00DB5319">
          <w:rPr>
            <w:rFonts w:eastAsia="Times New Roman" w:cs="Times New Roman"/>
            <w:color w:val="0000FF" w:themeColor="hyperlink"/>
            <w:szCs w:val="20"/>
            <w:u w:val="single"/>
          </w:rPr>
          <w:t>5/1/2019</w:t>
        </w:r>
      </w:hyperlink>
    </w:p>
    <w:p w:rsidR="00DB5319" w:rsidRPr="00DB5319" w:rsidRDefault="00B55B48" w:rsidP="00DB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DB5319" w:rsidRPr="00DB5319">
          <w:rPr>
            <w:rFonts w:eastAsia="Times New Roman" w:cs="Times New Roman"/>
            <w:color w:val="0000FF" w:themeColor="hyperlink"/>
            <w:szCs w:val="20"/>
            <w:u w:val="single"/>
          </w:rPr>
          <w:t>5/7/2019</w:t>
        </w:r>
      </w:hyperlink>
    </w:p>
    <w:p w:rsidR="00DB5319" w:rsidRPr="00DB5319" w:rsidRDefault="00B55B48" w:rsidP="00DB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DB5319" w:rsidRPr="00DB5319">
          <w:rPr>
            <w:rFonts w:eastAsia="Times New Roman" w:cs="Times New Roman"/>
            <w:color w:val="0000FF" w:themeColor="hyperlink"/>
            <w:szCs w:val="20"/>
            <w:u w:val="single"/>
          </w:rPr>
          <w:t>9/15/2020</w:t>
        </w:r>
      </w:hyperlink>
    </w:p>
    <w:p w:rsidR="00DB5319" w:rsidRPr="00DB5319" w:rsidRDefault="00B55B48" w:rsidP="00DB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DB5319" w:rsidRPr="00DB5319">
          <w:rPr>
            <w:rFonts w:eastAsia="Times New Roman" w:cs="Times New Roman"/>
            <w:color w:val="0000FF" w:themeColor="hyperlink"/>
            <w:szCs w:val="20"/>
            <w:u w:val="single"/>
          </w:rPr>
          <w:t>9/22/2020</w:t>
        </w:r>
      </w:hyperlink>
    </w:p>
    <w:p w:rsidR="00DB5319" w:rsidRPr="00DB5319" w:rsidRDefault="00B55B48" w:rsidP="00DB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DB5319" w:rsidRPr="00DB5319">
          <w:rPr>
            <w:rFonts w:eastAsia="Times New Roman" w:cs="Times New Roman"/>
            <w:color w:val="0000FF" w:themeColor="hyperlink"/>
            <w:szCs w:val="20"/>
            <w:u w:val="single"/>
          </w:rPr>
          <w:t>9/23/2020</w:t>
        </w:r>
      </w:hyperlink>
    </w:p>
    <w:p w:rsidR="00DB5319" w:rsidRPr="00DB5319" w:rsidRDefault="00DB5319" w:rsidP="00DB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B5319" w:rsidRDefault="00DB5319" w:rsidP="00DB5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B5319" w:rsidSect="00DB5319">
          <w:pgSz w:w="12240" w:h="15840" w:code="1"/>
          <w:pgMar w:top="1080" w:right="1440" w:bottom="1080" w:left="1440" w:header="720" w:footer="720" w:gutter="0"/>
          <w:pgNumType w:start="1"/>
          <w:cols w:space="720"/>
          <w:noEndnote/>
          <w:docGrid w:linePitch="360"/>
        </w:sectPr>
      </w:pPr>
    </w:p>
    <w:p w:rsidR="00076C94"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(A174, R175, H3755)</w:t>
      </w:r>
    </w:p>
    <w:p w:rsidR="00076C94" w:rsidRPr="008836A5"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76C94" w:rsidRPr="00DB5319"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B5319">
        <w:rPr>
          <w:rFonts w:cs="Times New Roman"/>
          <w:b/>
          <w:color w:val="000000" w:themeColor="text1"/>
          <w:szCs w:val="36"/>
        </w:rPr>
        <w:t xml:space="preserve">AN ACT </w:t>
      </w:r>
      <w:r w:rsidRPr="00DB5319">
        <w:rPr>
          <w:rFonts w:cs="Times New Roman"/>
          <w:b/>
          <w:color w:val="000000" w:themeColor="text1"/>
          <w:u w:color="000000" w:themeColor="text1"/>
        </w:rPr>
        <w:t>TO AMEND SECTION 38</w:t>
      </w:r>
      <w:r w:rsidRPr="00DB5319">
        <w:rPr>
          <w:rFonts w:cs="Times New Roman"/>
          <w:b/>
          <w:color w:val="000000" w:themeColor="text1"/>
          <w:u w:color="000000" w:themeColor="text1"/>
        </w:rPr>
        <w:noBreakHyphen/>
        <w:t>77</w:t>
      </w:r>
      <w:r w:rsidRPr="00DB5319">
        <w:rPr>
          <w:rFonts w:cs="Times New Roman"/>
          <w:b/>
          <w:color w:val="000000" w:themeColor="text1"/>
          <w:u w:color="000000" w:themeColor="text1"/>
        </w:rPr>
        <w:noBreakHyphen/>
        <w:t>30, CODE OF LAWS OF SOUTH CAROLINA, 1976, RELATING TO DEFINITIONS APPLICABLE TO AUTOMOBILE INSURANCE COVERAGE, SO AS TO REMOVE CERTAIN REQUIREMENTS FOR THE RENEWAL OF AN AUTOMOBILE COVERAGE POLICY AND TO DEFINE THE TERM “REDUCTION IN COVERAGE”; TO AMEND SECTION 38</w:t>
      </w:r>
      <w:r w:rsidRPr="00DB5319">
        <w:rPr>
          <w:rFonts w:cs="Times New Roman"/>
          <w:b/>
          <w:color w:val="000000" w:themeColor="text1"/>
          <w:u w:color="000000" w:themeColor="text1"/>
        </w:rPr>
        <w:noBreakHyphen/>
        <w:t>77</w:t>
      </w:r>
      <w:r w:rsidRPr="00DB5319">
        <w:rPr>
          <w:rFonts w:cs="Times New Roman"/>
          <w:b/>
          <w:color w:val="000000" w:themeColor="text1"/>
          <w:u w:color="000000" w:themeColor="text1"/>
        </w:rPr>
        <w:noBreakHyphen/>
        <w:t>120, RELATING TO NOTICE REQUIREMENTS FOR CANCELLATION OR THE REFUSAL TO RENEW A POLICY, SO AS TO ALLOW FOR AN INSURER TO RENEW A POLICY WITH A REDUCTION IN COVERAGE AND TO PROVIDE CERTAIN REQUIREMENTS FOR THE REDUCTION IN COVERAGE; AND TO EXTEND THE REDEMPTION PERIOD FOR TWELVE MONTHS.</w:t>
      </w: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892276">
        <w:rPr>
          <w:rFonts w:cs="Times New Roman"/>
        </w:rPr>
        <w:tab/>
      </w: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2276">
        <w:rPr>
          <w:rFonts w:cs="Times New Roman"/>
        </w:rPr>
        <w:t>Be it enacted by the General Assembly of the State of South Carolina:</w:t>
      </w:r>
    </w:p>
    <w:p w:rsidR="00076C94"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6C94"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076C94" w:rsidRPr="00EE5DFB"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2276">
        <w:rPr>
          <w:rFonts w:cs="Times New Roman"/>
        </w:rPr>
        <w:t>SECTION</w:t>
      </w:r>
      <w:r w:rsidRPr="00892276">
        <w:rPr>
          <w:rFonts w:cs="Times New Roman"/>
        </w:rPr>
        <w:tab/>
        <w:t>1.</w:t>
      </w:r>
      <w:r w:rsidRPr="00892276">
        <w:rPr>
          <w:rFonts w:cs="Times New Roman"/>
        </w:rPr>
        <w:tab/>
      </w:r>
      <w:r w:rsidRPr="00892276">
        <w:rPr>
          <w:rFonts w:cs="Times New Roman"/>
          <w:color w:val="000000" w:themeColor="text1"/>
          <w:u w:color="000000" w:themeColor="text1"/>
        </w:rPr>
        <w:t>Section 38</w:t>
      </w:r>
      <w:r w:rsidRPr="00892276">
        <w:rPr>
          <w:rFonts w:cs="Times New Roman"/>
          <w:color w:val="000000" w:themeColor="text1"/>
          <w:u w:color="000000" w:themeColor="text1"/>
        </w:rPr>
        <w:noBreakHyphen/>
        <w:t>77</w:t>
      </w:r>
      <w:r w:rsidRPr="00892276">
        <w:rPr>
          <w:rFonts w:cs="Times New Roman"/>
          <w:color w:val="000000" w:themeColor="text1"/>
          <w:u w:color="000000" w:themeColor="text1"/>
        </w:rPr>
        <w:noBreakHyphen/>
        <w:t xml:space="preserve">30(12) of the 1976 Code is amended to read: </w:t>
      </w: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2276">
        <w:rPr>
          <w:rFonts w:cs="Times New Roman"/>
          <w:color w:val="000000" w:themeColor="text1"/>
          <w:u w:color="000000" w:themeColor="text1"/>
        </w:rPr>
        <w:tab/>
        <w:t>“(12)</w:t>
      </w:r>
      <w:r w:rsidRPr="00892276">
        <w:rPr>
          <w:rFonts w:cs="Times New Roman"/>
          <w:color w:val="000000" w:themeColor="text1"/>
          <w:u w:color="000000" w:themeColor="text1"/>
        </w:rPr>
        <w:tab/>
        <w:t>‘Renewal’ or ‘to renew’ means the issuance and delivery by an insurer of a policy superseding at the end of the policy period a policy previously issued and delivered by the same insurer or the issuance and delivery of a certificate or notice extending the terms of a policy b</w:t>
      </w:r>
      <w:r>
        <w:rPr>
          <w:rFonts w:cs="Times New Roman"/>
          <w:color w:val="000000" w:themeColor="text1"/>
          <w:u w:color="000000" w:themeColor="text1"/>
        </w:rPr>
        <w:t>eyond its policy period or term</w:t>
      </w:r>
      <w:r w:rsidRPr="00892276">
        <w:rPr>
          <w:rFonts w:cs="Times New Roman"/>
          <w:color w:val="000000" w:themeColor="text1"/>
          <w:u w:color="000000" w:themeColor="text1"/>
        </w:rPr>
        <w:t>. However, any policy with a policy period or term of less than six months or any period with no fixed expiration date is considered as if written for successive policy periods or terms of six months.</w:t>
      </w: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2276">
        <w:rPr>
          <w:rFonts w:cs="Times New Roman"/>
          <w:color w:val="000000" w:themeColor="text1"/>
          <w:u w:color="000000" w:themeColor="text1"/>
        </w:rPr>
        <w:tab/>
        <w:t>(12.5)</w:t>
      </w:r>
      <w:r w:rsidRPr="00892276">
        <w:rPr>
          <w:rFonts w:cs="Times New Roman"/>
          <w:color w:val="000000" w:themeColor="text1"/>
          <w:u w:color="000000" w:themeColor="text1"/>
        </w:rPr>
        <w:tab/>
        <w:t>‘Reduction in coverage’ means a change made by the insurer which results in a removal of coverage, diminution in scope or less coverage, or the addition of an exclusion. Reduction in coverage does not include any change, reduction, or elimination of coverage made at the request of the insured. The correction of a typographical or scrivener’s error or the application of mandated legislative changes may not be considered a reduction in coverage.”</w:t>
      </w:r>
    </w:p>
    <w:p w:rsidR="00076C94"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6C94" w:rsidRDefault="00076C94" w:rsidP="00076C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Automobile insurance, reduction in coverage</w:t>
      </w:r>
    </w:p>
    <w:p w:rsidR="00076C94" w:rsidRPr="00EE5DFB" w:rsidRDefault="00076C94" w:rsidP="00076C9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892276">
        <w:rPr>
          <w:rFonts w:cs="Times New Roman"/>
          <w:u w:color="000000"/>
        </w:rPr>
        <w:t>SECTION</w:t>
      </w:r>
      <w:r w:rsidRPr="00892276">
        <w:rPr>
          <w:rFonts w:cs="Times New Roman"/>
          <w:u w:color="000000"/>
        </w:rPr>
        <w:tab/>
        <w:t>2.</w:t>
      </w:r>
      <w:r w:rsidRPr="00892276">
        <w:rPr>
          <w:rFonts w:cs="Times New Roman"/>
          <w:u w:color="000000"/>
        </w:rPr>
        <w:tab/>
        <w:t>Section 38</w:t>
      </w:r>
      <w:r w:rsidRPr="00892276">
        <w:rPr>
          <w:rFonts w:cs="Times New Roman"/>
          <w:u w:color="000000"/>
        </w:rPr>
        <w:noBreakHyphen/>
        <w:t>77</w:t>
      </w:r>
      <w:r w:rsidRPr="00892276">
        <w:rPr>
          <w:rFonts w:cs="Times New Roman"/>
          <w:u w:color="000000"/>
        </w:rPr>
        <w:noBreakHyphen/>
        <w:t xml:space="preserve">120(b) of the 1976 Code is amended to read: </w:t>
      </w: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892276">
        <w:rPr>
          <w:rFonts w:cs="Times New Roman"/>
          <w:u w:color="000000"/>
        </w:rPr>
        <w:tab/>
        <w:t>“(b)</w:t>
      </w:r>
      <w:r w:rsidRPr="00892276">
        <w:rPr>
          <w:rFonts w:cs="Times New Roman"/>
          <w:u w:color="000000"/>
        </w:rPr>
        <w:tab/>
        <w:t>Subsection (a) does not apply if the:</w:t>
      </w: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892276">
        <w:rPr>
          <w:rFonts w:cs="Times New Roman"/>
          <w:u w:color="000000"/>
        </w:rPr>
        <w:tab/>
      </w:r>
      <w:r w:rsidRPr="00892276">
        <w:rPr>
          <w:rFonts w:cs="Times New Roman"/>
          <w:u w:color="000000"/>
        </w:rPr>
        <w:tab/>
        <w:t>(1)</w:t>
      </w:r>
      <w:r w:rsidRPr="00892276">
        <w:rPr>
          <w:rFonts w:cs="Times New Roman"/>
          <w:u w:color="000000"/>
        </w:rPr>
        <w:tab/>
        <w:t>insurer has manifested to the insured its willingness to renew or to renew with a reduction in coverage by actually issuing or offering to the insured to issue a renewal policy, certificate, or other evidence of renewal, or has manifested such intention to the insured by any other means provided that in the case of a reduction in coverage, the insurer provides notice of a reduction in coverage to the named insured in a separate document entitled the ‘Notice of Reduction in Coverage’ no less than fifteen days prior to the effective date of the renewal that includes the proposed reduction in coverage. This notice must:</w:t>
      </w: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892276">
        <w:rPr>
          <w:rFonts w:cs="Times New Roman"/>
          <w:u w:color="000000"/>
        </w:rPr>
        <w:tab/>
      </w:r>
      <w:r w:rsidRPr="00892276">
        <w:rPr>
          <w:rFonts w:cs="Times New Roman"/>
          <w:u w:color="000000"/>
        </w:rPr>
        <w:tab/>
      </w:r>
      <w:r w:rsidRPr="00892276">
        <w:rPr>
          <w:rFonts w:cs="Times New Roman"/>
          <w:u w:color="000000"/>
        </w:rPr>
        <w:tab/>
        <w:t>(i)</w:t>
      </w:r>
      <w:r>
        <w:rPr>
          <w:rFonts w:cs="Times New Roman"/>
          <w:u w:color="000000"/>
        </w:rPr>
        <w:tab/>
      </w:r>
      <w:r w:rsidRPr="00892276">
        <w:rPr>
          <w:rFonts w:cs="Times New Roman"/>
          <w:u w:color="000000"/>
        </w:rPr>
        <w:tab/>
        <w:t>inform the insured of the reduction or elimination by the coverage section in the renewal policy or certificate; and</w:t>
      </w: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892276">
        <w:rPr>
          <w:rFonts w:cs="Times New Roman"/>
          <w:u w:color="000000"/>
        </w:rPr>
        <w:tab/>
      </w:r>
      <w:r w:rsidRPr="00892276">
        <w:rPr>
          <w:rFonts w:cs="Times New Roman"/>
          <w:u w:color="000000"/>
        </w:rPr>
        <w:tab/>
      </w:r>
      <w:r w:rsidRPr="00892276">
        <w:rPr>
          <w:rFonts w:cs="Times New Roman"/>
          <w:u w:color="000000"/>
        </w:rPr>
        <w:tab/>
        <w:t>(ii)</w:t>
      </w:r>
      <w:r w:rsidRPr="00892276">
        <w:rPr>
          <w:rFonts w:cs="Times New Roman"/>
          <w:u w:color="000000"/>
        </w:rPr>
        <w:tab/>
        <w:t xml:space="preserve">provide that it is a notice of coverage changes. </w:t>
      </w: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892276">
        <w:rPr>
          <w:rFonts w:cs="Times New Roman"/>
          <w:u w:color="000000"/>
        </w:rPr>
        <w:tab/>
        <w:t>The Notice of Reduction in Coverage does not amend, extend, or alter coverage provided in a policy. An insurer’s Notice of Reduction in Coverage must be provided to the director or his designee upon request when investigating a consumer complaint or when otherwise requested. The director or his designee may direct the insurer to provide the renewal without the reduction in coverage if the insurer fails to meet the requirements of this section. The director or his designee may issue guidance to an insurer or to the industry regarding the form and contents of the Notice of Reduction in Coverage in response to consumer inquiries or complaints;</w:t>
      </w: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2276">
        <w:rPr>
          <w:rFonts w:cs="Times New Roman"/>
          <w:u w:color="000000"/>
        </w:rPr>
        <w:tab/>
      </w:r>
      <w:r w:rsidRPr="00892276">
        <w:rPr>
          <w:rFonts w:cs="Times New Roman"/>
          <w:u w:color="000000"/>
        </w:rPr>
        <w:tab/>
        <w:t>(2)</w:t>
      </w:r>
      <w:r w:rsidRPr="00892276">
        <w:rPr>
          <w:rFonts w:cs="Times New Roman"/>
          <w:u w:color="000000"/>
        </w:rPr>
        <w:tab/>
        <w:t>named insured has demonstrated by some overt action to the insurer or its agent that he expressly intends that the policy be canceled or that it not be renewed.”</w:t>
      </w:r>
    </w:p>
    <w:p w:rsidR="00076C94"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6C94"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Redemption period extension</w:t>
      </w:r>
    </w:p>
    <w:p w:rsidR="00076C94" w:rsidRPr="00EE5DFB"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2276">
        <w:rPr>
          <w:rFonts w:cs="Times New Roman"/>
        </w:rPr>
        <w:t>SECTION</w:t>
      </w:r>
      <w:r w:rsidRPr="00892276">
        <w:rPr>
          <w:rFonts w:cs="Times New Roman"/>
        </w:rPr>
        <w:tab/>
        <w:t>3.</w:t>
      </w:r>
      <w:r w:rsidRPr="00892276">
        <w:rPr>
          <w:rFonts w:cs="Times New Roman"/>
        </w:rPr>
        <w:tab/>
        <w:t>A.</w:t>
      </w:r>
      <w:r w:rsidRPr="00892276">
        <w:rPr>
          <w:rFonts w:cs="Times New Roman"/>
        </w:rPr>
        <w:tab/>
      </w:r>
      <w:r>
        <w:rPr>
          <w:rFonts w:cs="Times New Roman"/>
        </w:rPr>
        <w:tab/>
      </w:r>
      <w:r w:rsidRPr="00892276">
        <w:rPr>
          <w:rFonts w:cs="Times New Roman"/>
        </w:rPr>
        <w:t>Notwithstanding any other provision of law, if real property was sold at a delinquent tax sale in 2019 and the twelve</w:t>
      </w:r>
      <w:r w:rsidRPr="00892276">
        <w:rPr>
          <w:rFonts w:cs="Times New Roman"/>
        </w:rPr>
        <w:noBreakHyphen/>
        <w:t>month redemption period has not expired as of the effective date of this section, then the redemption period for the real property is extended for twelve additional months.  If the property is redeemed during the twelve</w:t>
      </w:r>
      <w:r w:rsidRPr="00892276">
        <w:rPr>
          <w:rFonts w:cs="Times New Roman"/>
        </w:rPr>
        <w:noBreakHyphen/>
        <w:t>month extension, additional interest shall accrue in the same manner and rate as interest accrues in the original redemption period, as set forth in Section 12</w:t>
      </w:r>
      <w:r w:rsidRPr="00892276">
        <w:rPr>
          <w:rFonts w:cs="Times New Roman"/>
        </w:rPr>
        <w:noBreakHyphen/>
        <w:t>51</w:t>
      </w:r>
      <w:r w:rsidRPr="00892276">
        <w:rPr>
          <w:rFonts w:cs="Times New Roman"/>
        </w:rPr>
        <w:noBreakHyphen/>
        <w:t xml:space="preserve">90(B).  The provisions of Chapter 51, Title 12 of the 1976 Code, must be administered to account for the additional </w:t>
      </w:r>
      <w:r>
        <w:rPr>
          <w:rFonts w:cs="Times New Roman"/>
        </w:rPr>
        <w:t xml:space="preserve">twelve months, </w:t>
      </w:r>
      <w:r>
        <w:rPr>
          <w:rFonts w:cs="Times New Roman"/>
        </w:rPr>
        <w:lastRenderedPageBreak/>
        <w:t>mutatis mutandis</w:t>
      </w:r>
      <w:r w:rsidRPr="00892276">
        <w:rPr>
          <w:rFonts w:cs="Times New Roman"/>
        </w:rPr>
        <w:t xml:space="preserve"> including, but not limited to, the extension of affected deadlines.</w:t>
      </w: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2276">
        <w:rPr>
          <w:rFonts w:cs="Times New Roman"/>
        </w:rPr>
        <w:t>B.</w:t>
      </w:r>
      <w:r w:rsidRPr="00892276">
        <w:rPr>
          <w:rFonts w:cs="Times New Roman"/>
        </w:rPr>
        <w:tab/>
      </w:r>
      <w:r>
        <w:rPr>
          <w:rFonts w:cs="Times New Roman"/>
        </w:rPr>
        <w:tab/>
      </w:r>
      <w:r w:rsidRPr="00892276">
        <w:rPr>
          <w:rFonts w:cs="Times New Roman"/>
        </w:rPr>
        <w:t>This SECTION takes effect upon approval by the Governor.</w:t>
      </w:r>
      <w:r w:rsidRPr="00892276">
        <w:rPr>
          <w:rFonts w:cs="Times New Roman"/>
        </w:rPr>
        <w:tab/>
      </w:r>
    </w:p>
    <w:p w:rsidR="00076C94"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6C94"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76C94" w:rsidRPr="00EE5DFB"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76C94" w:rsidRPr="00892276"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2276">
        <w:rPr>
          <w:rFonts w:cs="Times New Roman"/>
        </w:rPr>
        <w:t>SECTION 4. This act takes effect upon approval by the Governor.</w:t>
      </w:r>
    </w:p>
    <w:p w:rsidR="00076C94"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76C94" w:rsidRDefault="00076C94"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076C94" w:rsidRDefault="00076C94" w:rsidP="00076C94">
      <w:pPr>
        <w:jc w:val="both"/>
        <w:rPr>
          <w:color w:val="000000" w:themeColor="text1"/>
        </w:rPr>
      </w:pPr>
    </w:p>
    <w:p w:rsidR="00076C94" w:rsidRDefault="00076C94" w:rsidP="00076C94">
      <w:pPr>
        <w:jc w:val="both"/>
        <w:rPr>
          <w:color w:val="000000" w:themeColor="text1"/>
        </w:rPr>
      </w:pPr>
      <w:r>
        <w:rPr>
          <w:color w:val="000000" w:themeColor="text1"/>
        </w:rPr>
        <w:t>Approved the 30</w:t>
      </w:r>
      <w:r w:rsidRPr="00DD1994">
        <w:rPr>
          <w:color w:val="000000" w:themeColor="text1"/>
          <w:vertAlign w:val="superscript"/>
        </w:rPr>
        <w:t>th</w:t>
      </w:r>
      <w:r>
        <w:rPr>
          <w:color w:val="000000" w:themeColor="text1"/>
        </w:rPr>
        <w:t xml:space="preserve"> day of September, 2020. </w:t>
      </w:r>
    </w:p>
    <w:p w:rsidR="00076C94" w:rsidRDefault="00076C94" w:rsidP="00076C94">
      <w:pPr>
        <w:jc w:val="center"/>
        <w:rPr>
          <w:color w:val="000000" w:themeColor="text1"/>
        </w:rPr>
      </w:pPr>
    </w:p>
    <w:p w:rsidR="00076C94" w:rsidRDefault="00076C94" w:rsidP="00076C94">
      <w:pPr>
        <w:jc w:val="center"/>
        <w:rPr>
          <w:color w:val="000000" w:themeColor="text1"/>
        </w:rPr>
      </w:pPr>
      <w:r>
        <w:rPr>
          <w:color w:val="000000" w:themeColor="text1"/>
        </w:rPr>
        <w:t>__________</w:t>
      </w:r>
    </w:p>
    <w:p w:rsidR="00DB5319" w:rsidRPr="000F77F6" w:rsidRDefault="00DB5319" w:rsidP="00076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B5319" w:rsidRPr="000F77F6" w:rsidSect="00DB5319">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9B9" w:rsidRDefault="00CF59B9" w:rsidP="007D5FAC">
      <w:r>
        <w:separator/>
      </w:r>
    </w:p>
  </w:endnote>
  <w:endnote w:type="continuationSeparator" w:id="0">
    <w:p w:rsidR="00CF59B9" w:rsidRDefault="00CF59B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319" w:rsidRPr="00DB5319" w:rsidRDefault="00DB5319" w:rsidP="00DB531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23799">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319" w:rsidRDefault="00DB5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9B9" w:rsidRDefault="00CF59B9" w:rsidP="007D5FAC">
      <w:r>
        <w:separator/>
      </w:r>
    </w:p>
  </w:footnote>
  <w:footnote w:type="continuationSeparator" w:id="0">
    <w:p w:rsidR="00CF59B9" w:rsidRDefault="00CF59B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755"/>
    <w:docVar w:name="ActSecretary" w:val="Thurmond"/>
    <w:docVar w:name="ActSIdno" w:val="(184)  3755CZ20"/>
    <w:docVar w:name="clipname" w:val="3755CZ20"/>
    <w:docVar w:name="dvBillNumber" w:val="3755"/>
    <w:docVar w:name="dvBillNumberPrefix" w:val="H"/>
    <w:docVar w:name="dvOriginalBody" w:val="House"/>
    <w:docVar w:name="HOUSEACTFULLPATH" w:val="L:\COUNCIL\ACTS\3755CZ20.DOCX"/>
    <w:docVar w:name="OrigHOUSEBillNo" w:val="3755"/>
    <w:docVar w:name="WhatActtype" w:val="AN ACT"/>
  </w:docVars>
  <w:rsids>
    <w:rsidRoot w:val="00CF59B9"/>
    <w:rsid w:val="00002DE0"/>
    <w:rsid w:val="00005E76"/>
    <w:rsid w:val="00020349"/>
    <w:rsid w:val="00020977"/>
    <w:rsid w:val="00021B0B"/>
    <w:rsid w:val="00040C05"/>
    <w:rsid w:val="0004579B"/>
    <w:rsid w:val="00051B4F"/>
    <w:rsid w:val="00060E60"/>
    <w:rsid w:val="000673E4"/>
    <w:rsid w:val="0007088D"/>
    <w:rsid w:val="000731E9"/>
    <w:rsid w:val="00074565"/>
    <w:rsid w:val="00076A1A"/>
    <w:rsid w:val="00076C94"/>
    <w:rsid w:val="00077DA3"/>
    <w:rsid w:val="00081300"/>
    <w:rsid w:val="00085C37"/>
    <w:rsid w:val="00092EE6"/>
    <w:rsid w:val="00096A9B"/>
    <w:rsid w:val="00096BDA"/>
    <w:rsid w:val="000A6151"/>
    <w:rsid w:val="000B316D"/>
    <w:rsid w:val="000B56CB"/>
    <w:rsid w:val="000D6F51"/>
    <w:rsid w:val="000F77F6"/>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37F"/>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374AB"/>
    <w:rsid w:val="0034356D"/>
    <w:rsid w:val="00360108"/>
    <w:rsid w:val="00360D70"/>
    <w:rsid w:val="00364D3F"/>
    <w:rsid w:val="0036610A"/>
    <w:rsid w:val="00366494"/>
    <w:rsid w:val="00370DA1"/>
    <w:rsid w:val="00372564"/>
    <w:rsid w:val="00372FF8"/>
    <w:rsid w:val="0038005A"/>
    <w:rsid w:val="00383317"/>
    <w:rsid w:val="0039655A"/>
    <w:rsid w:val="00396C58"/>
    <w:rsid w:val="003A3AAD"/>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23A5"/>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38CE"/>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5F7AD9"/>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24B4A"/>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1B35"/>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6A24"/>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CF59B9"/>
    <w:rsid w:val="00D00681"/>
    <w:rsid w:val="00D06DCC"/>
    <w:rsid w:val="00D1180E"/>
    <w:rsid w:val="00D132DB"/>
    <w:rsid w:val="00D13C21"/>
    <w:rsid w:val="00D16DAA"/>
    <w:rsid w:val="00D17AD0"/>
    <w:rsid w:val="00D23799"/>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5319"/>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2553"/>
    <w:rsid w:val="00E140B1"/>
    <w:rsid w:val="00E14905"/>
    <w:rsid w:val="00E33964"/>
    <w:rsid w:val="00E33DFF"/>
    <w:rsid w:val="00E3462F"/>
    <w:rsid w:val="00E36231"/>
    <w:rsid w:val="00E500F1"/>
    <w:rsid w:val="00E5358E"/>
    <w:rsid w:val="00E60357"/>
    <w:rsid w:val="00E61B4C"/>
    <w:rsid w:val="00E71D4E"/>
    <w:rsid w:val="00E757F4"/>
    <w:rsid w:val="00E9303D"/>
    <w:rsid w:val="00E94BD9"/>
    <w:rsid w:val="00EA2A3A"/>
    <w:rsid w:val="00EA77B0"/>
    <w:rsid w:val="00EB18D7"/>
    <w:rsid w:val="00EB223A"/>
    <w:rsid w:val="00EC47CE"/>
    <w:rsid w:val="00EC4D8C"/>
    <w:rsid w:val="00ED4871"/>
    <w:rsid w:val="00EE0FC5"/>
    <w:rsid w:val="00EE2F67"/>
    <w:rsid w:val="00EE5DFB"/>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6648"/>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B961799E-6551-4CEA-AF05-E566BD7C8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B531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638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8CE"/>
    <w:rPr>
      <w:rFonts w:ascii="Segoe UI" w:hAnsi="Segoe UI" w:cs="Segoe UI"/>
      <w:sz w:val="18"/>
      <w:szCs w:val="18"/>
    </w:rPr>
  </w:style>
  <w:style w:type="table" w:styleId="TableGrid">
    <w:name w:val="Table Grid"/>
    <w:basedOn w:val="TableNormal"/>
    <w:uiPriority w:val="59"/>
    <w:rsid w:val="00C26A2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B531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62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24.docx" TargetMode="External"/><Relationship Id="rId13" Type="http://schemas.openxmlformats.org/officeDocument/2006/relationships/hyperlink" Target="file:///h:\hj\20190319.docx" TargetMode="External"/><Relationship Id="rId18" Type="http://schemas.openxmlformats.org/officeDocument/2006/relationships/hyperlink" Target="file:///h:\sj\20190501.docx" TargetMode="External"/><Relationship Id="rId26" Type="http://schemas.openxmlformats.org/officeDocument/2006/relationships/hyperlink" Target="file:///h:\sj\20200923.docx"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h:\sj\20200915.docx" TargetMode="External"/><Relationship Id="rId34" Type="http://schemas.openxmlformats.org/officeDocument/2006/relationships/hyperlink" Target="file:///p:\pprever\2019-20\3755_20190507.docx" TargetMode="External"/><Relationship Id="rId7" Type="http://schemas.openxmlformats.org/officeDocument/2006/relationships/hyperlink" Target="file:///h:\hj\20190124.docx" TargetMode="External"/><Relationship Id="rId12" Type="http://schemas.openxmlformats.org/officeDocument/2006/relationships/hyperlink" Target="file:///h:\hj\20190307.docx" TargetMode="External"/><Relationship Id="rId17" Type="http://schemas.openxmlformats.org/officeDocument/2006/relationships/hyperlink" Target="file:///h:\sj\20190320.docx" TargetMode="External"/><Relationship Id="rId25" Type="http://schemas.openxmlformats.org/officeDocument/2006/relationships/hyperlink" Target="file:///h:\hj\20200922.docx" TargetMode="External"/><Relationship Id="rId33" Type="http://schemas.openxmlformats.org/officeDocument/2006/relationships/hyperlink" Target="file:///p:\pprever\2019-20\3755_20190501.doc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90320.docx" TargetMode="External"/><Relationship Id="rId20" Type="http://schemas.openxmlformats.org/officeDocument/2006/relationships/hyperlink" Target="file:///h:\sj\20190507.docx" TargetMode="External"/><Relationship Id="rId29" Type="http://schemas.openxmlformats.org/officeDocument/2006/relationships/hyperlink" Target="http://www.scstatehouse.gov/billsearch.php?billnumbers=3755&amp;session=123&amp;summary=B"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06.docx" TargetMode="External"/><Relationship Id="rId24" Type="http://schemas.openxmlformats.org/officeDocument/2006/relationships/hyperlink" Target="file:///h:\hj\20200922.docx" TargetMode="External"/><Relationship Id="rId32" Type="http://schemas.openxmlformats.org/officeDocument/2006/relationships/hyperlink" Target="file:///p:\pprever\2019-20\3755_20190319.docx" TargetMode="External"/><Relationship Id="rId37" Type="http://schemas.openxmlformats.org/officeDocument/2006/relationships/hyperlink" Target="file:///p:\pprever\2019-20\3755_20200923.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190319.docx" TargetMode="External"/><Relationship Id="rId23" Type="http://schemas.openxmlformats.org/officeDocument/2006/relationships/hyperlink" Target="file:///h:\hj\20200922.docx" TargetMode="External"/><Relationship Id="rId28" Type="http://schemas.openxmlformats.org/officeDocument/2006/relationships/hyperlink" Target="file:///h:\sj\20200930.docx" TargetMode="External"/><Relationship Id="rId36" Type="http://schemas.openxmlformats.org/officeDocument/2006/relationships/hyperlink" Target="file:///p:\pprever\2019-20\3755_20200922.docx" TargetMode="External"/><Relationship Id="rId10" Type="http://schemas.openxmlformats.org/officeDocument/2006/relationships/hyperlink" Target="file:///h:\hj\20190306.docx" TargetMode="External"/><Relationship Id="rId19" Type="http://schemas.openxmlformats.org/officeDocument/2006/relationships/hyperlink" Target="file:///h:\sj\20190507.docx" TargetMode="External"/><Relationship Id="rId31" Type="http://schemas.openxmlformats.org/officeDocument/2006/relationships/hyperlink" Target="file:///p:\pprever\2019-20\3755_20190228.docx" TargetMode="External"/><Relationship Id="rId4" Type="http://schemas.openxmlformats.org/officeDocument/2006/relationships/webSettings" Target="webSettings.xml"/><Relationship Id="rId9" Type="http://schemas.openxmlformats.org/officeDocument/2006/relationships/hyperlink" Target="file:///h:\hj\20190228.docx" TargetMode="External"/><Relationship Id="rId14" Type="http://schemas.openxmlformats.org/officeDocument/2006/relationships/hyperlink" Target="file:///h:\hj\20190319.docx" TargetMode="External"/><Relationship Id="rId22" Type="http://schemas.openxmlformats.org/officeDocument/2006/relationships/hyperlink" Target="file:///h:\sj\20200915.docx" TargetMode="External"/><Relationship Id="rId27" Type="http://schemas.openxmlformats.org/officeDocument/2006/relationships/hyperlink" Target="file:///h:\sj\20200923.docx" TargetMode="External"/><Relationship Id="rId30" Type="http://schemas.openxmlformats.org/officeDocument/2006/relationships/hyperlink" Target="file:///p:\pprever\2019-20\3755_20190124.docx" TargetMode="External"/><Relationship Id="rId35" Type="http://schemas.openxmlformats.org/officeDocument/2006/relationships/hyperlink" Target="file:///p:\pprever\2019-20\3755_202009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7AD27-E878-4F5E-909E-AFBDACE93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6B096C9</Template>
  <TotalTime>0</TotalTime>
  <Pages>5</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3755: Auto insurance coverage - South Carolina Legislature Online</dc:title>
  <dc:subject/>
  <dc:creator>Gwen Thurmond</dc:creator>
  <cp:keywords/>
  <dc:description/>
  <cp:lastModifiedBy>Lavarres Lynch</cp:lastModifiedBy>
  <cp:revision>2</cp:revision>
  <cp:lastPrinted>2020-09-23T18:50:00Z</cp:lastPrinted>
  <dcterms:created xsi:type="dcterms:W3CDTF">2020-10-09T17:47:00Z</dcterms:created>
  <dcterms:modified xsi:type="dcterms:W3CDTF">2020-10-09T17:47:00Z</dcterms:modified>
</cp:coreProperties>
</file>