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6E1C">
        <w:rPr>
          <w:rFonts w:eastAsia="Times New Roman" w:cs="Times New Roman"/>
          <w:b/>
          <w:szCs w:val="20"/>
        </w:rPr>
        <w:t>South Carolina General Assembly</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6E1C">
        <w:rPr>
          <w:rFonts w:eastAsia="Times New Roman" w:cs="Times New Roman"/>
          <w:szCs w:val="20"/>
        </w:rPr>
        <w:t>123rd Session, 2019-2020</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6E1C" w:rsidRPr="00606E1C" w:rsidRDefault="002A3FA0"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A98, R31, H4157</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6E1C">
        <w:rPr>
          <w:rFonts w:eastAsia="Times New Roman" w:cs="Times New Roman"/>
          <w:b/>
          <w:szCs w:val="20"/>
        </w:rPr>
        <w:t>STATUS INFORMATION</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6E1C">
        <w:rPr>
          <w:rFonts w:eastAsia="Times New Roman" w:cs="Times New Roman"/>
          <w:szCs w:val="20"/>
        </w:rPr>
        <w:t>Joint Resolution</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6E1C">
        <w:rPr>
          <w:rFonts w:eastAsia="Times New Roman" w:cs="Times New Roman"/>
          <w:szCs w:val="20"/>
        </w:rPr>
        <w:t>Sponsors: Reps. Lucas, G.M. Smith, Simrill, Bannister and Clemmons</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6E1C">
        <w:rPr>
          <w:rFonts w:eastAsia="Times New Roman" w:cs="Times New Roman"/>
          <w:szCs w:val="20"/>
        </w:rPr>
        <w:t>Document Path: l:\council\bills\nbd\11256dg19.docx</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4509" w:rsidRDefault="00054509"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2019</w:t>
      </w:r>
    </w:p>
    <w:p w:rsidR="00054509" w:rsidRDefault="00054509"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2019</w:t>
      </w:r>
    </w:p>
    <w:p w:rsidR="00054509" w:rsidRDefault="00054509"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28, 2019</w:t>
      </w:r>
    </w:p>
    <w:p w:rsidR="00054509" w:rsidRDefault="00054509"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3, 2019, Signed</w:t>
      </w:r>
    </w:p>
    <w:p w:rsidR="00054509" w:rsidRDefault="00054509"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6E1C">
        <w:rPr>
          <w:rFonts w:eastAsia="Times New Roman" w:cs="Times New Roman"/>
          <w:szCs w:val="20"/>
        </w:rPr>
        <w:t>Summary: Voting machines</w:t>
      </w: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6E1C" w:rsidRPr="00606E1C" w:rsidRDefault="00606E1C" w:rsidP="00606E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6E1C" w:rsidRPr="00606E1C" w:rsidRDefault="00606E1C" w:rsidP="00606E1C">
      <w:pPr>
        <w:widowControl w:val="0"/>
        <w:tabs>
          <w:tab w:val="center" w:pos="590"/>
          <w:tab w:val="center" w:pos="1440"/>
          <w:tab w:val="left" w:pos="1872"/>
          <w:tab w:val="left" w:pos="9187"/>
        </w:tabs>
        <w:rPr>
          <w:rFonts w:eastAsia="Times New Roman" w:cs="Times New Roman"/>
          <w:szCs w:val="20"/>
        </w:rPr>
      </w:pPr>
      <w:r w:rsidRPr="00606E1C">
        <w:rPr>
          <w:rFonts w:eastAsia="Times New Roman" w:cs="Times New Roman"/>
          <w:b/>
          <w:szCs w:val="20"/>
        </w:rPr>
        <w:t>HISTORY OF LEGISLATIVE ACTIONS</w:t>
      </w:r>
    </w:p>
    <w:p w:rsidR="00606E1C" w:rsidRPr="00606E1C" w:rsidRDefault="00606E1C" w:rsidP="00606E1C">
      <w:pPr>
        <w:widowControl w:val="0"/>
        <w:tabs>
          <w:tab w:val="center" w:pos="590"/>
          <w:tab w:val="center" w:pos="1440"/>
          <w:tab w:val="left" w:pos="1872"/>
          <w:tab w:val="left" w:pos="9187"/>
        </w:tabs>
        <w:rPr>
          <w:rFonts w:eastAsia="Times New Roman" w:cs="Times New Roman"/>
          <w:szCs w:val="20"/>
        </w:rPr>
      </w:pPr>
    </w:p>
    <w:p w:rsidR="00606E1C" w:rsidRPr="00606E1C" w:rsidRDefault="00606E1C" w:rsidP="00606E1C">
      <w:pPr>
        <w:widowControl w:val="0"/>
        <w:tabs>
          <w:tab w:val="center" w:pos="590"/>
          <w:tab w:val="center" w:pos="1440"/>
          <w:tab w:val="left" w:pos="1872"/>
          <w:tab w:val="left" w:pos="9187"/>
        </w:tabs>
        <w:rPr>
          <w:rFonts w:eastAsia="Times New Roman" w:cs="Times New Roman"/>
          <w:szCs w:val="20"/>
        </w:rPr>
      </w:pPr>
      <w:r w:rsidRPr="00606E1C">
        <w:rPr>
          <w:rFonts w:eastAsia="Times New Roman" w:cs="Times New Roman"/>
          <w:szCs w:val="20"/>
          <w:u w:val="single"/>
        </w:rPr>
        <w:tab/>
        <w:t>Date</w:t>
      </w:r>
      <w:r w:rsidRPr="00606E1C">
        <w:rPr>
          <w:rFonts w:eastAsia="Times New Roman" w:cs="Times New Roman"/>
          <w:szCs w:val="20"/>
          <w:u w:val="single"/>
        </w:rPr>
        <w:tab/>
        <w:t>Body</w:t>
      </w:r>
      <w:r w:rsidRPr="00606E1C">
        <w:rPr>
          <w:rFonts w:eastAsia="Times New Roman" w:cs="Times New Roman"/>
          <w:szCs w:val="20"/>
          <w:u w:val="single"/>
        </w:rPr>
        <w:tab/>
        <w:t>Action Description with journal page number</w:t>
      </w:r>
      <w:r w:rsidRPr="00606E1C">
        <w:rPr>
          <w:rFonts w:eastAsia="Times New Roman" w:cs="Times New Roman"/>
          <w:szCs w:val="20"/>
          <w:u w:val="single"/>
        </w:rPr>
        <w:tab/>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D316DD">
        <w:rPr>
          <w:rFonts w:cs="Times New Roman"/>
        </w:rPr>
        <w:t>Introduced, read</w:t>
      </w:r>
      <w:r>
        <w:rPr>
          <w:rFonts w:cs="Times New Roman"/>
        </w:rPr>
        <w:t xml:space="preserve"> first time, placed on calendar </w:t>
      </w:r>
      <w:r w:rsidRPr="00D316DD">
        <w:rPr>
          <w:rFonts w:cs="Times New Roman"/>
        </w:rPr>
        <w:t>without reference (</w:t>
      </w:r>
      <w:hyperlink r:id="rId7" w:history="1">
        <w:r w:rsidRPr="00D316DD">
          <w:rPr>
            <w:rStyle w:val="Hyperlink"/>
            <w:rFonts w:cs="Times New Roman"/>
          </w:rPr>
          <w:t>House Journal</w:t>
        </w:r>
        <w:r w:rsidRPr="00D316DD">
          <w:rPr>
            <w:rStyle w:val="Hyperlink"/>
            <w:rFonts w:cs="Times New Roman"/>
          </w:rPr>
          <w:noBreakHyphen/>
          <w:t>page 23</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D316DD">
        <w:rPr>
          <w:rFonts w:cs="Times New Roman"/>
        </w:rPr>
        <w:t>Member(s) request name added as sponsor: Clemmons</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D316DD">
        <w:rPr>
          <w:rFonts w:cs="Times New Roman"/>
        </w:rPr>
        <w:t>Read second time (</w:t>
      </w:r>
      <w:hyperlink r:id="rId8" w:history="1">
        <w:r w:rsidRPr="00D316DD">
          <w:rPr>
            <w:rStyle w:val="Hyperlink"/>
            <w:rFonts w:cs="Times New Roman"/>
          </w:rPr>
          <w:t>House Journal</w:t>
        </w:r>
        <w:r w:rsidRPr="00D316DD">
          <w:rPr>
            <w:rStyle w:val="Hyperlink"/>
            <w:rFonts w:cs="Times New Roman"/>
          </w:rPr>
          <w:noBreakHyphen/>
          <w:t>page 53</w:t>
        </w:r>
      </w:hyperlink>
      <w:bookmarkStart w:id="0" w:name="_GoBack"/>
      <w:bookmarkEnd w:id="0"/>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D316DD">
        <w:rPr>
          <w:rFonts w:cs="Times New Roman"/>
        </w:rPr>
        <w:t>Roll call Yeas</w:t>
      </w:r>
      <w:r>
        <w:rPr>
          <w:rFonts w:cs="Times New Roman"/>
        </w:rPr>
        <w:noBreakHyphen/>
      </w:r>
      <w:r w:rsidRPr="00D316DD">
        <w:rPr>
          <w:rFonts w:cs="Times New Roman"/>
        </w:rPr>
        <w:t>91  Nays</w:t>
      </w:r>
      <w:r>
        <w:rPr>
          <w:rFonts w:cs="Times New Roman"/>
        </w:rPr>
        <w:noBreakHyphen/>
      </w:r>
      <w:r w:rsidRPr="00D316DD">
        <w:rPr>
          <w:rFonts w:cs="Times New Roman"/>
        </w:rPr>
        <w:t>0 (</w:t>
      </w:r>
      <w:hyperlink r:id="rId9" w:history="1">
        <w:r w:rsidRPr="00D316DD">
          <w:rPr>
            <w:rStyle w:val="Hyperlink"/>
            <w:rFonts w:cs="Times New Roman"/>
          </w:rPr>
          <w:t>House Journal</w:t>
        </w:r>
        <w:r w:rsidRPr="00D316DD">
          <w:rPr>
            <w:rStyle w:val="Hyperlink"/>
            <w:rFonts w:cs="Times New Roman"/>
          </w:rPr>
          <w:noBreakHyphen/>
          <w:t>page 53</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r>
      <w:r>
        <w:rPr>
          <w:rFonts w:cs="Times New Roman"/>
        </w:rPr>
        <w:tab/>
      </w:r>
      <w:r w:rsidRPr="00D316DD">
        <w:rPr>
          <w:rFonts w:cs="Times New Roman"/>
        </w:rPr>
        <w:t>Scrivener's error corrected</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D316DD">
        <w:rPr>
          <w:rFonts w:cs="Times New Roman"/>
        </w:rPr>
        <w:t>Rea</w:t>
      </w:r>
      <w:r>
        <w:rPr>
          <w:rFonts w:cs="Times New Roman"/>
        </w:rPr>
        <w:t xml:space="preserve">d third time and sent to Senate </w:t>
      </w:r>
      <w:r w:rsidRPr="00D316DD">
        <w:rPr>
          <w:rFonts w:cs="Times New Roman"/>
        </w:rPr>
        <w:t>(</w:t>
      </w:r>
      <w:hyperlink r:id="rId10" w:history="1">
        <w:r w:rsidRPr="00D316DD">
          <w:rPr>
            <w:rStyle w:val="Hyperlink"/>
            <w:rFonts w:cs="Times New Roman"/>
          </w:rPr>
          <w:t>House Journal</w:t>
        </w:r>
        <w:r w:rsidRPr="00D316DD">
          <w:rPr>
            <w:rStyle w:val="Hyperlink"/>
            <w:rFonts w:cs="Times New Roman"/>
          </w:rPr>
          <w:noBreakHyphen/>
          <w:t>page 10</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D316DD">
        <w:rPr>
          <w:rFonts w:cs="Times New Roman"/>
        </w:rPr>
        <w:t>Introduced and read first time (</w:t>
      </w:r>
      <w:hyperlink r:id="rId11" w:history="1">
        <w:r w:rsidRPr="00D316DD">
          <w:rPr>
            <w:rStyle w:val="Hyperlink"/>
            <w:rFonts w:cs="Times New Roman"/>
          </w:rPr>
          <w:t>Senate Journal</w:t>
        </w:r>
        <w:r w:rsidRPr="00D316DD">
          <w:rPr>
            <w:rStyle w:val="Hyperlink"/>
            <w:rFonts w:cs="Times New Roman"/>
          </w:rPr>
          <w:noBreakHyphen/>
          <w:t>page 10</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D316DD">
        <w:rPr>
          <w:rFonts w:cs="Times New Roman"/>
        </w:rPr>
        <w:t>R</w:t>
      </w:r>
      <w:r>
        <w:rPr>
          <w:rFonts w:cs="Times New Roman"/>
        </w:rPr>
        <w:t xml:space="preserve">eferred to Committee on </w:t>
      </w:r>
      <w:r w:rsidRPr="00D316DD">
        <w:rPr>
          <w:rFonts w:cs="Times New Roman"/>
          <w:b/>
        </w:rPr>
        <w:t>Finance</w:t>
      </w:r>
      <w:r>
        <w:rPr>
          <w:rFonts w:cs="Times New Roman"/>
        </w:rPr>
        <w:t xml:space="preserve"> </w:t>
      </w:r>
      <w:r w:rsidRPr="00D316DD">
        <w:rPr>
          <w:rFonts w:cs="Times New Roman"/>
        </w:rPr>
        <w:t>(</w:t>
      </w:r>
      <w:hyperlink r:id="rId12" w:history="1">
        <w:r w:rsidRPr="00D316DD">
          <w:rPr>
            <w:rStyle w:val="Hyperlink"/>
            <w:rFonts w:cs="Times New Roman"/>
          </w:rPr>
          <w:t>Senate Journal</w:t>
        </w:r>
        <w:r w:rsidRPr="00D316DD">
          <w:rPr>
            <w:rStyle w:val="Hyperlink"/>
            <w:rFonts w:cs="Times New Roman"/>
          </w:rPr>
          <w:noBreakHyphen/>
          <w:t>page 10</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D316DD">
        <w:rPr>
          <w:rFonts w:cs="Times New Roman"/>
        </w:rPr>
        <w:t>Comm</w:t>
      </w:r>
      <w:r>
        <w:rPr>
          <w:rFonts w:cs="Times New Roman"/>
        </w:rPr>
        <w:t xml:space="preserve">ittee report: Favorable </w:t>
      </w:r>
      <w:r w:rsidRPr="00D316DD">
        <w:rPr>
          <w:rFonts w:cs="Times New Roman"/>
          <w:b/>
        </w:rPr>
        <w:t>Finance</w:t>
      </w:r>
      <w:r>
        <w:rPr>
          <w:rFonts w:cs="Times New Roman"/>
        </w:rPr>
        <w:t xml:space="preserve"> </w:t>
      </w:r>
      <w:r w:rsidRPr="00D316DD">
        <w:rPr>
          <w:rFonts w:cs="Times New Roman"/>
        </w:rPr>
        <w:t>(</w:t>
      </w:r>
      <w:hyperlink r:id="rId13" w:history="1">
        <w:r w:rsidRPr="00D316DD">
          <w:rPr>
            <w:rStyle w:val="Hyperlink"/>
            <w:rFonts w:cs="Times New Roman"/>
          </w:rPr>
          <w:t>Senate Journal</w:t>
        </w:r>
        <w:r w:rsidRPr="00D316DD">
          <w:rPr>
            <w:rStyle w:val="Hyperlink"/>
            <w:rFonts w:cs="Times New Roman"/>
          </w:rPr>
          <w:noBreakHyphen/>
          <w:t>page 19</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D316DD">
        <w:rPr>
          <w:rFonts w:cs="Times New Roman"/>
        </w:rPr>
        <w:t>Read second time (</w:t>
      </w:r>
      <w:hyperlink r:id="rId14" w:history="1">
        <w:r w:rsidRPr="00D316DD">
          <w:rPr>
            <w:rStyle w:val="Hyperlink"/>
            <w:rFonts w:cs="Times New Roman"/>
          </w:rPr>
          <w:t>Senate Journal</w:t>
        </w:r>
        <w:r w:rsidRPr="00D316DD">
          <w:rPr>
            <w:rStyle w:val="Hyperlink"/>
            <w:rFonts w:cs="Times New Roman"/>
          </w:rPr>
          <w:noBreakHyphen/>
          <w:t>page 65</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D316DD">
        <w:rPr>
          <w:rFonts w:cs="Times New Roman"/>
        </w:rPr>
        <w:t>Roll call Ayes</w:t>
      </w:r>
      <w:r>
        <w:rPr>
          <w:rFonts w:cs="Times New Roman"/>
        </w:rPr>
        <w:noBreakHyphen/>
      </w:r>
      <w:r w:rsidRPr="00D316DD">
        <w:rPr>
          <w:rFonts w:cs="Times New Roman"/>
        </w:rPr>
        <w:t>39  Nays</w:t>
      </w:r>
      <w:r>
        <w:rPr>
          <w:rFonts w:cs="Times New Roman"/>
        </w:rPr>
        <w:noBreakHyphen/>
      </w:r>
      <w:r w:rsidRPr="00D316DD">
        <w:rPr>
          <w:rFonts w:cs="Times New Roman"/>
        </w:rPr>
        <w:t>0 (</w:t>
      </w:r>
      <w:hyperlink r:id="rId15" w:history="1">
        <w:r w:rsidRPr="00D316DD">
          <w:rPr>
            <w:rStyle w:val="Hyperlink"/>
            <w:rFonts w:cs="Times New Roman"/>
          </w:rPr>
          <w:t>Senate Journal</w:t>
        </w:r>
        <w:r w:rsidRPr="00D316DD">
          <w:rPr>
            <w:rStyle w:val="Hyperlink"/>
            <w:rFonts w:cs="Times New Roman"/>
          </w:rPr>
          <w:noBreakHyphen/>
          <w:t>page 65</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D316DD">
        <w:rPr>
          <w:rFonts w:cs="Times New Roman"/>
        </w:rPr>
        <w:t>Read third time and enrolled (</w:t>
      </w:r>
      <w:hyperlink r:id="rId16" w:history="1">
        <w:r w:rsidRPr="00D316DD">
          <w:rPr>
            <w:rStyle w:val="Hyperlink"/>
            <w:rFonts w:cs="Times New Roman"/>
          </w:rPr>
          <w:t>Senate Journal</w:t>
        </w:r>
        <w:r w:rsidRPr="00D316DD">
          <w:rPr>
            <w:rStyle w:val="Hyperlink"/>
            <w:rFonts w:cs="Times New Roman"/>
          </w:rPr>
          <w:noBreakHyphen/>
          <w:t>page 14</w:t>
        </w:r>
      </w:hyperlink>
      <w:r w:rsidRPr="00D316DD">
        <w:rPr>
          <w:rFonts w:cs="Times New Roman"/>
        </w:rPr>
        <w:t>)</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D316DD">
        <w:rPr>
          <w:rFonts w:cs="Times New Roman"/>
        </w:rPr>
        <w:t>Ratified R  31</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D316DD">
        <w:rPr>
          <w:rFonts w:cs="Times New Roman"/>
        </w:rPr>
        <w:t>Signed By Governor</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r>
      <w:r>
        <w:rPr>
          <w:rFonts w:cs="Times New Roman"/>
        </w:rPr>
        <w:tab/>
      </w:r>
      <w:r w:rsidRPr="00D316DD">
        <w:rPr>
          <w:rFonts w:cs="Times New Roman"/>
        </w:rPr>
        <w:t>Effective date  04/03/19</w:t>
      </w:r>
    </w:p>
    <w:p w:rsidR="002A3FA0" w:rsidRDefault="002A3FA0" w:rsidP="002A3FA0">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D316DD">
        <w:rPr>
          <w:rFonts w:cs="Times New Roman"/>
        </w:rPr>
        <w:t>Act No</w:t>
      </w:r>
      <w:r>
        <w:rPr>
          <w:rFonts w:cs="Times New Roman"/>
        </w:rPr>
        <w:t>. </w:t>
      </w:r>
      <w:r w:rsidRPr="00D316DD">
        <w:rPr>
          <w:rFonts w:cs="Times New Roman"/>
        </w:rPr>
        <w:t xml:space="preserve"> 98</w:t>
      </w:r>
    </w:p>
    <w:p w:rsidR="002A3FA0" w:rsidRDefault="002A3FA0" w:rsidP="002A3FA0">
      <w:pPr>
        <w:widowControl w:val="0"/>
        <w:tabs>
          <w:tab w:val="right" w:pos="1008"/>
          <w:tab w:val="left" w:pos="1152"/>
          <w:tab w:val="left" w:pos="1872"/>
          <w:tab w:val="left" w:pos="9187"/>
        </w:tabs>
        <w:ind w:left="2088" w:hanging="2088"/>
        <w:rPr>
          <w:rFonts w:cs="Times New Roman"/>
        </w:rPr>
      </w:pPr>
    </w:p>
    <w:p w:rsidR="00606E1C" w:rsidRPr="00606E1C" w:rsidRDefault="00606E1C" w:rsidP="00606E1C">
      <w:pPr>
        <w:widowControl w:val="0"/>
        <w:tabs>
          <w:tab w:val="right" w:pos="1008"/>
          <w:tab w:val="left" w:pos="1152"/>
          <w:tab w:val="left" w:pos="1872"/>
          <w:tab w:val="left" w:pos="9187"/>
        </w:tabs>
        <w:ind w:left="2088" w:hanging="2088"/>
        <w:rPr>
          <w:rFonts w:eastAsia="Times New Roman" w:cs="Times New Roman"/>
          <w:szCs w:val="20"/>
        </w:rPr>
      </w:pPr>
      <w:r w:rsidRPr="00606E1C">
        <w:rPr>
          <w:rFonts w:eastAsia="Times New Roman" w:cs="Times New Roman"/>
          <w:szCs w:val="20"/>
        </w:rPr>
        <w:t xml:space="preserve">View the latest </w:t>
      </w:r>
      <w:hyperlink r:id="rId17" w:history="1">
        <w:r w:rsidRPr="00606E1C">
          <w:rPr>
            <w:rFonts w:eastAsia="Times New Roman" w:cs="Times New Roman"/>
            <w:color w:val="0000FF" w:themeColor="hyperlink"/>
            <w:szCs w:val="20"/>
            <w:u w:val="single"/>
          </w:rPr>
          <w:t>legislative information</w:t>
        </w:r>
      </w:hyperlink>
      <w:r w:rsidRPr="00606E1C">
        <w:rPr>
          <w:rFonts w:eastAsia="Times New Roman" w:cs="Times New Roman"/>
          <w:szCs w:val="20"/>
        </w:rPr>
        <w:t xml:space="preserve"> at the website</w:t>
      </w:r>
    </w:p>
    <w:p w:rsidR="00606E1C" w:rsidRPr="00606E1C" w:rsidRDefault="00606E1C" w:rsidP="00606E1C">
      <w:pPr>
        <w:widowControl w:val="0"/>
        <w:tabs>
          <w:tab w:val="right" w:pos="1008"/>
          <w:tab w:val="left" w:pos="1152"/>
          <w:tab w:val="left" w:pos="1872"/>
          <w:tab w:val="left" w:pos="9187"/>
        </w:tabs>
        <w:ind w:left="2088" w:hanging="2088"/>
        <w:rPr>
          <w:rFonts w:eastAsia="Times New Roman" w:cs="Times New Roman"/>
          <w:szCs w:val="20"/>
        </w:rPr>
      </w:pPr>
    </w:p>
    <w:p w:rsidR="00606E1C" w:rsidRPr="00606E1C" w:rsidRDefault="00606E1C" w:rsidP="00606E1C">
      <w:pPr>
        <w:widowControl w:val="0"/>
        <w:tabs>
          <w:tab w:val="right" w:pos="1008"/>
          <w:tab w:val="left" w:pos="1152"/>
          <w:tab w:val="left" w:pos="1872"/>
          <w:tab w:val="left" w:pos="9187"/>
        </w:tabs>
        <w:ind w:left="2088" w:hanging="2088"/>
        <w:rPr>
          <w:rFonts w:eastAsia="Times New Roman" w:cs="Times New Roman"/>
          <w:szCs w:val="20"/>
        </w:rPr>
      </w:pPr>
    </w:p>
    <w:p w:rsidR="00606E1C" w:rsidRPr="00606E1C" w:rsidRDefault="00606E1C"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6E1C">
        <w:rPr>
          <w:rFonts w:eastAsia="Times New Roman" w:cs="Times New Roman"/>
          <w:b/>
          <w:szCs w:val="20"/>
        </w:rPr>
        <w:t>VERSIONS OF THIS BILL</w:t>
      </w:r>
    </w:p>
    <w:p w:rsidR="00606E1C" w:rsidRPr="00606E1C" w:rsidRDefault="00606E1C"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6E1C" w:rsidRPr="00606E1C" w:rsidRDefault="00B97B71"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06E1C" w:rsidRPr="00606E1C">
          <w:rPr>
            <w:rFonts w:eastAsia="Times New Roman" w:cs="Times New Roman"/>
            <w:color w:val="0000FF" w:themeColor="hyperlink"/>
            <w:szCs w:val="20"/>
            <w:u w:val="single"/>
          </w:rPr>
          <w:t>3/5/2019</w:t>
        </w:r>
      </w:hyperlink>
    </w:p>
    <w:p w:rsidR="00606E1C" w:rsidRPr="00606E1C" w:rsidRDefault="00B97B71"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06E1C" w:rsidRPr="00606E1C">
          <w:rPr>
            <w:rFonts w:eastAsia="Times New Roman" w:cs="Times New Roman"/>
            <w:color w:val="0000FF" w:themeColor="hyperlink"/>
            <w:szCs w:val="20"/>
            <w:u w:val="single"/>
          </w:rPr>
          <w:t>3/5/2019-A</w:t>
        </w:r>
      </w:hyperlink>
    </w:p>
    <w:p w:rsidR="00606E1C" w:rsidRPr="00606E1C" w:rsidRDefault="00B97B71"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06E1C" w:rsidRPr="00606E1C">
          <w:rPr>
            <w:rFonts w:eastAsia="Times New Roman" w:cs="Times New Roman"/>
            <w:color w:val="0000FF" w:themeColor="hyperlink"/>
            <w:szCs w:val="20"/>
            <w:u w:val="single"/>
          </w:rPr>
          <w:t>3/6/2019</w:t>
        </w:r>
      </w:hyperlink>
    </w:p>
    <w:p w:rsidR="00606E1C" w:rsidRPr="00606E1C" w:rsidRDefault="00B97B71"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06E1C" w:rsidRPr="00606E1C">
          <w:rPr>
            <w:rFonts w:eastAsia="Times New Roman" w:cs="Times New Roman"/>
            <w:color w:val="0000FF" w:themeColor="hyperlink"/>
            <w:szCs w:val="20"/>
            <w:u w:val="single"/>
          </w:rPr>
          <w:t>3/21/2019</w:t>
        </w:r>
      </w:hyperlink>
    </w:p>
    <w:p w:rsidR="00606E1C" w:rsidRPr="00606E1C" w:rsidRDefault="00606E1C"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6E1C" w:rsidRDefault="00606E1C" w:rsidP="00606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6E1C" w:rsidSect="00606E1C">
          <w:pgSz w:w="12240" w:h="15840" w:code="1"/>
          <w:pgMar w:top="1080" w:right="1440" w:bottom="1080" w:left="1440" w:header="720" w:footer="720" w:gutter="0"/>
          <w:pgNumType w:start="1"/>
          <w:cols w:space="720"/>
          <w:noEndnote/>
          <w:docGrid w:linePitch="360"/>
        </w:sectPr>
      </w:pPr>
    </w:p>
    <w:p w:rsidR="00362223"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R31, H4157)</w:t>
      </w:r>
    </w:p>
    <w:p w:rsidR="00362223" w:rsidRPr="008836A5"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2223" w:rsidRPr="00606E1C"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6E1C">
        <w:rPr>
          <w:rFonts w:cs="Times New Roman"/>
          <w:b/>
          <w:color w:val="000000" w:themeColor="text1"/>
          <w:szCs w:val="36"/>
        </w:rPr>
        <w:t xml:space="preserve">A JOINT RESOLUTION </w:t>
      </w:r>
      <w:r w:rsidRPr="00606E1C">
        <w:rPr>
          <w:rFonts w:cs="Times New Roman"/>
          <w:b/>
          <w:color w:val="000000" w:themeColor="text1"/>
          <w:u w:color="000000" w:themeColor="text1"/>
        </w:rPr>
        <w:t xml:space="preserve">TO EXTEND THE DEADLINE TO SUBMIT OFFERS FOR A SOLICITATION FOR A STATEWIDE VOTING SYSTEM SOLUTION FOR THE STATE ELECTION COMMISSION AND TO CREATE A SPECIAL EVALUATION PANEL TO EVALUATE AND SCORE EACH PROPOSAL. </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7020">
        <w:rPr>
          <w:rFonts w:cs="Times New Roman"/>
        </w:rPr>
        <w:t>Be it enacted by the General Assembly of the State of South Carolina:</w:t>
      </w:r>
    </w:p>
    <w:p w:rsidR="00362223"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223" w:rsidRPr="000A383A"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Statewide voting system</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SECTION</w:t>
      </w:r>
      <w:r w:rsidRPr="00457020">
        <w:rPr>
          <w:rFonts w:cs="Times New Roman"/>
          <w:color w:val="000000" w:themeColor="text1"/>
          <w:u w:color="000000" w:themeColor="text1"/>
        </w:rPr>
        <w:tab/>
        <w:t>1.</w:t>
      </w:r>
      <w:r w:rsidRPr="00457020">
        <w:rPr>
          <w:rFonts w:cs="Times New Roman"/>
          <w:color w:val="000000" w:themeColor="text1"/>
          <w:u w:color="000000" w:themeColor="text1"/>
        </w:rPr>
        <w:tab/>
        <w:t>(A)</w:t>
      </w:r>
      <w:r w:rsidRPr="00457020">
        <w:rPr>
          <w:rFonts w:cs="Times New Roman"/>
          <w:color w:val="000000" w:themeColor="text1"/>
          <w:u w:color="000000" w:themeColor="text1"/>
        </w:rPr>
        <w:tab/>
        <w:t>The General Assembly finds:</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r>
      <w:r w:rsidRPr="00457020">
        <w:rPr>
          <w:rFonts w:cs="Times New Roman"/>
          <w:color w:val="000000" w:themeColor="text1"/>
          <w:u w:color="000000" w:themeColor="text1"/>
        </w:rPr>
        <w:tab/>
        <w:t>(1)</w:t>
      </w:r>
      <w:r w:rsidRPr="00457020">
        <w:rPr>
          <w:rFonts w:cs="Times New Roman"/>
          <w:color w:val="000000" w:themeColor="text1"/>
          <w:u w:color="000000" w:themeColor="text1"/>
        </w:rPr>
        <w:tab/>
        <w:t>The State of South Carolina desires to contract for a statewide voting system solution. It is intended that the contract for the statewide voting system solution shall provide a turnkey solution to the State Election Commission and the forty</w:t>
      </w:r>
      <w:r w:rsidRPr="00457020">
        <w:rPr>
          <w:rFonts w:cs="Times New Roman"/>
          <w:color w:val="000000" w:themeColor="text1"/>
          <w:u w:color="000000" w:themeColor="text1"/>
        </w:rPr>
        <w:noBreakHyphen/>
        <w:t>six counties of South Carolina. It is further intended that the contract shall provide, to the extent possible, for all necessary software, hardware, equipment, supplies, support, and services necessary for a complete and comprehensive solution that meets South Carolina’s requirements for a statewide voting system in a manner that is most advantageous to the State.  It is imperative that the statewide voting system solution selected is procured, installed, and tested in the most expeditious manner possible so it is operational by January 1, 2020.</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r>
      <w:r w:rsidRPr="00457020">
        <w:rPr>
          <w:rFonts w:cs="Times New Roman"/>
          <w:color w:val="000000" w:themeColor="text1"/>
          <w:u w:color="000000" w:themeColor="text1"/>
        </w:rPr>
        <w:tab/>
        <w:t>(2)</w:t>
      </w:r>
      <w:r w:rsidRPr="00457020">
        <w:rPr>
          <w:rFonts w:cs="Times New Roman"/>
          <w:color w:val="000000" w:themeColor="text1"/>
          <w:u w:color="000000" w:themeColor="text1"/>
        </w:rPr>
        <w:tab/>
        <w:t>To meet the intentions set forth in item (1), the State Fiscal Accountability Authority (SFAA) issued on December 7, 2018, a Request for Proposal soliciting offers to “Provide a Statewide Voting System Solution for the South Carolina State Election Commission” (Solicitation No. 5400016872).  According to the terms of the solicitation, offerors desiring to submit a proposal must do so by 11:00 a.m. on March 4, 2019.</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t>(B)</w:t>
      </w:r>
      <w:r w:rsidRPr="00457020">
        <w:rPr>
          <w:rFonts w:cs="Times New Roman"/>
          <w:color w:val="000000" w:themeColor="text1"/>
          <w:u w:color="000000" w:themeColor="text1"/>
        </w:rPr>
        <w:tab/>
        <w:t>To ensure competition and maximize accountability in the process, the General Assembly directs the State Fiscal Accountability Authority to extend the deadline to submit offers pursuant to Solicitation No. 5400016872 until 11:00 a.m. on April 4, 2019.  Unless inconsistent with the provisions of this joint resolution, all other instructions, requirements, conditions, statements of work, s</w:t>
      </w:r>
      <w:r>
        <w:rPr>
          <w:rFonts w:cs="Times New Roman"/>
          <w:color w:val="000000" w:themeColor="text1"/>
          <w:u w:color="000000" w:themeColor="text1"/>
        </w:rPr>
        <w:t>pecifications, terms</w:t>
      </w:r>
      <w:r w:rsidRPr="00457020">
        <w:rPr>
          <w:rFonts w:cs="Times New Roman"/>
          <w:color w:val="000000" w:themeColor="text1"/>
          <w:u w:color="000000" w:themeColor="text1"/>
        </w:rPr>
        <w:t xml:space="preserve">, etc. contained in the solicitation shall remain in full force and effect. </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t>(C)(1)</w:t>
      </w:r>
      <w:r w:rsidRPr="00457020">
        <w:rPr>
          <w:rFonts w:cs="Times New Roman"/>
          <w:color w:val="000000" w:themeColor="text1"/>
          <w:u w:color="000000" w:themeColor="text1"/>
        </w:rPr>
        <w:tab/>
        <w:t>A special evaluation panel is hereby created to evaluate the proposals received as a result of the request for proposal contained in Solicitation No. 5400016872. The special evaluation panel is composed of the five members of the State Election Commission appointed pursuant Section 7</w:t>
      </w:r>
      <w:r w:rsidRPr="00457020">
        <w:rPr>
          <w:rFonts w:cs="Times New Roman"/>
          <w:color w:val="000000" w:themeColor="text1"/>
          <w:u w:color="000000" w:themeColor="text1"/>
        </w:rPr>
        <w:noBreakHyphen/>
        <w:t>3</w:t>
      </w:r>
      <w:r w:rsidRPr="00457020">
        <w:rPr>
          <w:rFonts w:cs="Times New Roman"/>
          <w:color w:val="000000" w:themeColor="text1"/>
          <w:u w:color="000000" w:themeColor="text1"/>
        </w:rPr>
        <w:noBreakHyphen/>
        <w:t xml:space="preserve">10 of the 1976 Code.  During the period between </w:t>
      </w:r>
      <w:r w:rsidRPr="00457020">
        <w:rPr>
          <w:rFonts w:cs="Times New Roman"/>
          <w:color w:val="000000" w:themeColor="text1"/>
          <w:u w:color="000000" w:themeColor="text1"/>
        </w:rPr>
        <w:lastRenderedPageBreak/>
        <w:t>publication of the solicitation and final award, members of the special evaluation panel must not communicate, directly or indirectly, with any offeror or employees, agents, or officials of any offeror.  Before assuming any role in the evaluation of proposals/offerors, members of the special evaluation panel must certify in writing that they will, among other things, avoid conflicts of interests, abide by certain integrity obligations and rules of conduct, and comply with the applicable provisions of the State Ethics Act of the 1976 Code.  The integrity obligations and rules of conduct that the special evaluation panel members must agree to abide by shall include, but not be limited to, conducting themselves in such a way as not to adversely affect the confidence of the public or competing offerors in this procurement process, avoiding any action that could result in the appearance that the member lacks independence or impartiality, and avoiding any activity or financial transaction that involves or appears to involve the direct or indirect use of “inside information” to further a private gain for themselves or others. Before assuming any role in the evaluation of proposals/offerors, members of the special evaluation panel must receive such training on their integrity obligations, the required rules of conduct, and the State Ethics Act as the Department of Administration may direct.</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r>
      <w:r w:rsidRPr="00457020">
        <w:rPr>
          <w:rFonts w:cs="Times New Roman"/>
          <w:color w:val="000000" w:themeColor="text1"/>
          <w:u w:color="000000" w:themeColor="text1"/>
        </w:rPr>
        <w:tab/>
        <w:t>(2)</w:t>
      </w:r>
      <w:r w:rsidRPr="00457020">
        <w:rPr>
          <w:rFonts w:cs="Times New Roman"/>
          <w:color w:val="000000" w:themeColor="text1"/>
          <w:u w:color="000000" w:themeColor="text1"/>
        </w:rPr>
        <w:tab/>
        <w:t xml:space="preserve">The Executive Director of the South Carolina Department of Administration shall coordinate the process used by the special evaluation panel to evaluate and score proposals received by the time specified in this joint resolution and which have been determined to be responsive to Solicitation No. 5400016872 by the procurement officer.  The State Fiscal Accountability Authority and the State Election Commission shall assign such personnel as requested by the Executive Director of the Department of Administration to assist the Department of Administration in carrying out its duties under this joint resolution.  Additionally, the State Fiscal Accountability Authority and the State Election Commission shall assign such personnel as requested by the Executive Director of the Department of Administration to assist the special evaluation panel.  The Department of Administration may contract with an outside expert or experts, including attorneys, to provide consultation and advice to the Department of Administration and to the special evaluation panel in evaluating and scoring proposals.  Procurements by the Department of Administration of any expert or experts, including attorneys, pursuant to this joint resolution are exempt from the purchasing procedures of the South Carolina Consolidated Procurement Code.  </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r>
      <w:r w:rsidRPr="00457020">
        <w:rPr>
          <w:rFonts w:cs="Times New Roman"/>
          <w:color w:val="000000" w:themeColor="text1"/>
          <w:u w:color="000000" w:themeColor="text1"/>
        </w:rPr>
        <w:tab/>
        <w:t>(3)</w:t>
      </w:r>
      <w:r w:rsidRPr="00457020">
        <w:rPr>
          <w:rFonts w:cs="Times New Roman"/>
          <w:color w:val="000000" w:themeColor="text1"/>
          <w:u w:color="000000" w:themeColor="text1"/>
        </w:rPr>
        <w:tab/>
        <w:t xml:space="preserve">The special evaluation panel shall evaluate and score all proposals and offerors based on the evaluation criteria included in the request for proposal contained in Solicitation No. 5400016872.  The </w:t>
      </w:r>
      <w:r w:rsidRPr="00457020">
        <w:rPr>
          <w:rFonts w:cs="Times New Roman"/>
          <w:color w:val="000000" w:themeColor="text1"/>
          <w:u w:color="000000" w:themeColor="text1"/>
        </w:rPr>
        <w:lastRenderedPageBreak/>
        <w:t>State Fiscal Accountability Authority shall award the contract to the highest</w:t>
      </w:r>
      <w:r w:rsidRPr="00457020">
        <w:rPr>
          <w:rFonts w:cs="Times New Roman"/>
          <w:color w:val="000000" w:themeColor="text1"/>
          <w:u w:color="000000" w:themeColor="text1"/>
        </w:rPr>
        <w:noBreakHyphen/>
        <w:t>ranking proposal/offeror based on the scoring of the special evaluation panel subject to the Discussions and Negotiations provision in the solicitation and Section 11</w:t>
      </w:r>
      <w:r w:rsidRPr="00457020">
        <w:rPr>
          <w:rFonts w:cs="Times New Roman"/>
          <w:color w:val="000000" w:themeColor="text1"/>
          <w:u w:color="000000" w:themeColor="text1"/>
        </w:rPr>
        <w:noBreakHyphen/>
        <w:t>35</w:t>
      </w:r>
      <w:r w:rsidRPr="00457020">
        <w:rPr>
          <w:rFonts w:cs="Times New Roman"/>
          <w:color w:val="000000" w:themeColor="text1"/>
          <w:u w:color="000000" w:themeColor="text1"/>
        </w:rPr>
        <w:noBreakHyphen/>
        <w:t xml:space="preserve">1530(8) of the 1976 Code.  </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t>(D)(1)</w:t>
      </w:r>
      <w:r w:rsidRPr="00457020">
        <w:rPr>
          <w:rFonts w:cs="Times New Roman"/>
          <w:color w:val="000000" w:themeColor="text1"/>
          <w:u w:color="000000" w:themeColor="text1"/>
        </w:rPr>
        <w:tab/>
        <w:t>The State Fiscal Accountability Authority shall continue to serve as the procuring officer for the solicitation.  The State Fiscal Accountability Authority is also responsible for administrative duties related to the request for proposals including, but not limited to, required publications, postings, conferences, receipt of proposals, amendments, dissemination of materials to evaluators, instructing/charging evaluators, issuing notifications of award, etc.</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r>
      <w:r w:rsidRPr="00457020">
        <w:rPr>
          <w:rFonts w:cs="Times New Roman"/>
          <w:color w:val="000000" w:themeColor="text1"/>
          <w:u w:color="000000" w:themeColor="text1"/>
        </w:rPr>
        <w:tab/>
        <w:t>(2)</w:t>
      </w:r>
      <w:r w:rsidRPr="00457020">
        <w:rPr>
          <w:rFonts w:cs="Times New Roman"/>
          <w:color w:val="000000" w:themeColor="text1"/>
          <w:u w:color="000000" w:themeColor="text1"/>
        </w:rPr>
        <w:tab/>
        <w:t>Once a contract is awarded pursuant to Solicitation No. 5400016872, the State Election Commission shall manage the contract with the State Fiscal Accountability Authority maintaining all responsibilities vested in it by the South Carolina Consolidated Procurement Code.  The State Election Commission shall be the party in interest for any disputes or controversies that arise subsequent to the execution of the contract.  The provisions of Sections 11</w:t>
      </w:r>
      <w:r w:rsidRPr="00457020">
        <w:rPr>
          <w:rFonts w:cs="Times New Roman"/>
          <w:color w:val="000000" w:themeColor="text1"/>
          <w:u w:color="000000" w:themeColor="text1"/>
        </w:rPr>
        <w:noBreakHyphen/>
        <w:t>35</w:t>
      </w:r>
      <w:r w:rsidRPr="00457020">
        <w:rPr>
          <w:rFonts w:cs="Times New Roman"/>
          <w:color w:val="000000" w:themeColor="text1"/>
          <w:u w:color="000000" w:themeColor="text1"/>
        </w:rPr>
        <w:noBreakHyphen/>
        <w:t>4210, 11</w:t>
      </w:r>
      <w:r w:rsidRPr="00457020">
        <w:rPr>
          <w:rFonts w:cs="Times New Roman"/>
          <w:color w:val="000000" w:themeColor="text1"/>
          <w:u w:color="000000" w:themeColor="text1"/>
        </w:rPr>
        <w:noBreakHyphen/>
        <w:t>35</w:t>
      </w:r>
      <w:r w:rsidRPr="00457020">
        <w:rPr>
          <w:rFonts w:cs="Times New Roman"/>
          <w:color w:val="000000" w:themeColor="text1"/>
          <w:u w:color="000000" w:themeColor="text1"/>
        </w:rPr>
        <w:noBreakHyphen/>
        <w:t>4310, and 11</w:t>
      </w:r>
      <w:r w:rsidRPr="00457020">
        <w:rPr>
          <w:rFonts w:cs="Times New Roman"/>
          <w:color w:val="000000" w:themeColor="text1"/>
          <w:u w:color="000000" w:themeColor="text1"/>
        </w:rPr>
        <w:noBreakHyphen/>
        <w:t>35</w:t>
      </w:r>
      <w:r w:rsidRPr="00457020">
        <w:rPr>
          <w:rFonts w:cs="Times New Roman"/>
          <w:color w:val="000000" w:themeColor="text1"/>
          <w:u w:color="000000" w:themeColor="text1"/>
        </w:rPr>
        <w:noBreakHyphen/>
        <w:t>4410(1)(b) of the 1976 Code, South Carolina Consolidated Procurement Code shall not apply to the procurement of a Statewide Voting System Solution pursuant to Solicitation No. 5400016872 or pursuant to any other source selection method authorized by this joint resolution.  All other provisions of Article 17 of the South Carolina Consolidated Procurement Code related to contract and breach of contract controversies shall apply, including the provisions of Section 11</w:t>
      </w:r>
      <w:r w:rsidRPr="00457020">
        <w:rPr>
          <w:rFonts w:cs="Times New Roman"/>
          <w:color w:val="000000" w:themeColor="text1"/>
          <w:u w:color="000000" w:themeColor="text1"/>
        </w:rPr>
        <w:noBreakHyphen/>
        <w:t>35</w:t>
      </w:r>
      <w:r w:rsidRPr="00457020">
        <w:rPr>
          <w:rFonts w:cs="Times New Roman"/>
          <w:color w:val="000000" w:themeColor="text1"/>
          <w:u w:color="000000" w:themeColor="text1"/>
        </w:rPr>
        <w:noBreakHyphen/>
        <w:t xml:space="preserve">4230 giving the chief procurement officer exclusive authority to resolve contract controversies.  </w:t>
      </w:r>
    </w:p>
    <w:p w:rsidR="00362223"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7020">
        <w:rPr>
          <w:rFonts w:cs="Times New Roman"/>
          <w:color w:val="000000" w:themeColor="text1"/>
          <w:u w:color="000000" w:themeColor="text1"/>
        </w:rPr>
        <w:tab/>
        <w:t>(E)</w:t>
      </w:r>
      <w:r w:rsidRPr="00457020">
        <w:rPr>
          <w:rFonts w:cs="Times New Roman"/>
          <w:color w:val="000000" w:themeColor="text1"/>
          <w:u w:color="000000" w:themeColor="text1"/>
        </w:rPr>
        <w:tab/>
        <w:t xml:space="preserve">If it is determined that a contract cannot be awarded pursuant to Solicitation No. 5400016872 as it currently exists, the Executive Director of the Department of Administration may direct that the solicitation be amended as needed or may direct that an alternate source selection method be used; provided that, should an alternate source selection method be used, the selected method must allow for as much competition as is practicable under the circumstances.  If an alternate source selection method is employed, the Executive Director of the Department of Administration may direct the State Election Commission and the State Fiscal Accountability Authority, as is applicable, to develop an appropriate scope of work and specifications, to prepare the appropriate solicitation documentation, to develop award criteria, to administer the procurement process, to assist in the scoring and evaluation of any offers, to manage the contract and to be responsible for any contract controversies that may arise as either the using governmental unit (State Election Commission) or as the chief </w:t>
      </w:r>
      <w:r w:rsidRPr="00457020">
        <w:rPr>
          <w:rFonts w:cs="Times New Roman"/>
          <w:color w:val="000000" w:themeColor="text1"/>
          <w:u w:color="000000" w:themeColor="text1"/>
        </w:rPr>
        <w:lastRenderedPageBreak/>
        <w:t>procurement officer (SFAA).  Additionally, the special evaluation panel shall evaluate and score all proposals and offerors received in the time provided in the alternative source selection method and which proposals are responsive to the alternative source selection method based on the evaluation criteria developed during the process. The State Fiscal Accountability Authority shall award the contract to the highest</w:t>
      </w:r>
      <w:r w:rsidRPr="00457020">
        <w:rPr>
          <w:rFonts w:cs="Times New Roman"/>
          <w:color w:val="000000" w:themeColor="text1"/>
          <w:u w:color="000000" w:themeColor="text1"/>
        </w:rPr>
        <w:noBreakHyphen/>
        <w:t>ranking proposal/offeror based on the scoring of the special evaluation panel subject to negotiations as provided in Section 11</w:t>
      </w:r>
      <w:r w:rsidRPr="00457020">
        <w:rPr>
          <w:rFonts w:cs="Times New Roman"/>
          <w:color w:val="000000" w:themeColor="text1"/>
          <w:u w:color="000000" w:themeColor="text1"/>
        </w:rPr>
        <w:noBreakHyphen/>
        <w:t>35</w:t>
      </w:r>
      <w:r w:rsidRPr="00457020">
        <w:rPr>
          <w:rFonts w:cs="Times New Roman"/>
          <w:color w:val="000000" w:themeColor="text1"/>
          <w:u w:color="000000" w:themeColor="text1"/>
        </w:rPr>
        <w:noBreakHyphen/>
        <w:t xml:space="preserve">1530(8) of the 1976 Code.  </w:t>
      </w:r>
    </w:p>
    <w:p w:rsidR="00362223"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223" w:rsidRPr="000A383A"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2223" w:rsidRPr="00457020"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7020">
        <w:rPr>
          <w:rFonts w:cs="Times New Roman"/>
          <w:color w:val="000000" w:themeColor="text1"/>
          <w:u w:color="000000" w:themeColor="text1"/>
        </w:rPr>
        <w:t>SECTION</w:t>
      </w:r>
      <w:r w:rsidRPr="00457020">
        <w:rPr>
          <w:rFonts w:cs="Times New Roman"/>
          <w:color w:val="000000" w:themeColor="text1"/>
          <w:u w:color="000000" w:themeColor="text1"/>
        </w:rPr>
        <w:tab/>
        <w:t>2.</w:t>
      </w:r>
      <w:r w:rsidRPr="00457020">
        <w:rPr>
          <w:rFonts w:cs="Times New Roman"/>
          <w:color w:val="000000" w:themeColor="text1"/>
          <w:u w:color="000000" w:themeColor="text1"/>
        </w:rPr>
        <w:tab/>
        <w:t>This joint resolution takes effect upon approval by the Governor.</w:t>
      </w:r>
    </w:p>
    <w:p w:rsidR="00362223"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2223" w:rsidRDefault="00362223"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2019.</w:t>
      </w:r>
    </w:p>
    <w:p w:rsidR="00362223" w:rsidRDefault="00362223" w:rsidP="00362223">
      <w:pPr>
        <w:jc w:val="both"/>
        <w:rPr>
          <w:color w:val="000000" w:themeColor="text1"/>
        </w:rPr>
      </w:pPr>
    </w:p>
    <w:p w:rsidR="00362223" w:rsidRDefault="00362223" w:rsidP="00362223">
      <w:pPr>
        <w:jc w:val="both"/>
        <w:rPr>
          <w:color w:val="000000" w:themeColor="text1"/>
        </w:rPr>
      </w:pPr>
      <w:r>
        <w:rPr>
          <w:color w:val="000000" w:themeColor="text1"/>
        </w:rPr>
        <w:t>Approved the 3</w:t>
      </w:r>
      <w:r w:rsidRPr="00F26B54">
        <w:rPr>
          <w:color w:val="000000" w:themeColor="text1"/>
          <w:vertAlign w:val="superscript"/>
        </w:rPr>
        <w:t>rd</w:t>
      </w:r>
      <w:r>
        <w:rPr>
          <w:color w:val="000000" w:themeColor="text1"/>
        </w:rPr>
        <w:t xml:space="preserve"> day of April, 2019. </w:t>
      </w:r>
    </w:p>
    <w:p w:rsidR="00362223" w:rsidRDefault="00362223" w:rsidP="00362223">
      <w:pPr>
        <w:jc w:val="center"/>
        <w:rPr>
          <w:color w:val="000000" w:themeColor="text1"/>
        </w:rPr>
      </w:pPr>
    </w:p>
    <w:p w:rsidR="00362223" w:rsidRDefault="00362223" w:rsidP="00362223">
      <w:pPr>
        <w:jc w:val="center"/>
        <w:rPr>
          <w:color w:val="000000" w:themeColor="text1"/>
        </w:rPr>
      </w:pPr>
      <w:r>
        <w:rPr>
          <w:color w:val="000000" w:themeColor="text1"/>
        </w:rPr>
        <w:t>__________</w:t>
      </w:r>
    </w:p>
    <w:p w:rsidR="00606E1C" w:rsidRPr="009D3DB6" w:rsidRDefault="00606E1C" w:rsidP="003622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6E1C" w:rsidRPr="009D3DB6" w:rsidSect="00606E1C">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F32" w:rsidRDefault="00CB3F32" w:rsidP="007D5FAC">
      <w:r>
        <w:separator/>
      </w:r>
    </w:p>
  </w:endnote>
  <w:endnote w:type="continuationSeparator" w:id="0">
    <w:p w:rsidR="00CB3F32" w:rsidRDefault="00CB3F3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1C" w:rsidRPr="00606E1C" w:rsidRDefault="00606E1C" w:rsidP="00606E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222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1C" w:rsidRDefault="00606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F32" w:rsidRDefault="00CB3F32" w:rsidP="007D5FAC">
      <w:r>
        <w:separator/>
      </w:r>
    </w:p>
  </w:footnote>
  <w:footnote w:type="continuationSeparator" w:id="0">
    <w:p w:rsidR="00CB3F32" w:rsidRDefault="00CB3F3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157"/>
    <w:docVar w:name="ActSecretary" w:val="Downey"/>
    <w:docVar w:name="ActSIdno" w:val="(30)  4157DG19"/>
    <w:docVar w:name="clipname" w:val="4157DG19"/>
    <w:docVar w:name="dvBillNumber" w:val="4157"/>
    <w:docVar w:name="dvBillNumberPrefix" w:val="H"/>
    <w:docVar w:name="dvOriginalBody" w:val="House"/>
    <w:docVar w:name="HOUSEACTFULLPATH" w:val="L:\COUNCIL\ACTS\4157DG19.DOCX"/>
    <w:docVar w:name="OrigHOUSEBillNo" w:val="4157"/>
    <w:docVar w:name="WhatActtype" w:val="A JOINT RESOLUTION"/>
  </w:docVars>
  <w:rsids>
    <w:rsidRoot w:val="00CB3F32"/>
    <w:rsid w:val="00002DE0"/>
    <w:rsid w:val="00020349"/>
    <w:rsid w:val="00020977"/>
    <w:rsid w:val="00021B0B"/>
    <w:rsid w:val="00040C05"/>
    <w:rsid w:val="0004579B"/>
    <w:rsid w:val="00051B4F"/>
    <w:rsid w:val="00054509"/>
    <w:rsid w:val="00060E60"/>
    <w:rsid w:val="000673E4"/>
    <w:rsid w:val="0007088D"/>
    <w:rsid w:val="000731E9"/>
    <w:rsid w:val="00074565"/>
    <w:rsid w:val="00076A1A"/>
    <w:rsid w:val="00077DA3"/>
    <w:rsid w:val="00081300"/>
    <w:rsid w:val="00085C37"/>
    <w:rsid w:val="00092EE6"/>
    <w:rsid w:val="00096A9B"/>
    <w:rsid w:val="00096BDA"/>
    <w:rsid w:val="00097B9A"/>
    <w:rsid w:val="000A383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3763D"/>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5623"/>
    <w:rsid w:val="001B65B6"/>
    <w:rsid w:val="001B78F9"/>
    <w:rsid w:val="001B7FF5"/>
    <w:rsid w:val="001C390F"/>
    <w:rsid w:val="001C603D"/>
    <w:rsid w:val="001C6957"/>
    <w:rsid w:val="001D0755"/>
    <w:rsid w:val="001D279C"/>
    <w:rsid w:val="001D6463"/>
    <w:rsid w:val="001D696A"/>
    <w:rsid w:val="001E47D6"/>
    <w:rsid w:val="001F1A6E"/>
    <w:rsid w:val="001F1CCC"/>
    <w:rsid w:val="001F36BF"/>
    <w:rsid w:val="001F729C"/>
    <w:rsid w:val="00200C6E"/>
    <w:rsid w:val="00204492"/>
    <w:rsid w:val="00204701"/>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4EA"/>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3FA0"/>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9E7"/>
    <w:rsid w:val="00315C15"/>
    <w:rsid w:val="0031739F"/>
    <w:rsid w:val="003219FC"/>
    <w:rsid w:val="0032380E"/>
    <w:rsid w:val="00325D1F"/>
    <w:rsid w:val="003348FE"/>
    <w:rsid w:val="00334EAC"/>
    <w:rsid w:val="0034356D"/>
    <w:rsid w:val="003443BA"/>
    <w:rsid w:val="00360108"/>
    <w:rsid w:val="00360D70"/>
    <w:rsid w:val="00362223"/>
    <w:rsid w:val="00364D3F"/>
    <w:rsid w:val="00366494"/>
    <w:rsid w:val="00370DA1"/>
    <w:rsid w:val="00372564"/>
    <w:rsid w:val="00372FF8"/>
    <w:rsid w:val="0038005A"/>
    <w:rsid w:val="00393FD8"/>
    <w:rsid w:val="0039655A"/>
    <w:rsid w:val="00396C58"/>
    <w:rsid w:val="003A6D96"/>
    <w:rsid w:val="003A7517"/>
    <w:rsid w:val="003B105A"/>
    <w:rsid w:val="003B1A01"/>
    <w:rsid w:val="003B2E6E"/>
    <w:rsid w:val="003B307F"/>
    <w:rsid w:val="003B355D"/>
    <w:rsid w:val="003B6BB7"/>
    <w:rsid w:val="003B746E"/>
    <w:rsid w:val="003C030C"/>
    <w:rsid w:val="003D2A73"/>
    <w:rsid w:val="003D5D65"/>
    <w:rsid w:val="003E2FE8"/>
    <w:rsid w:val="00400828"/>
    <w:rsid w:val="00400C83"/>
    <w:rsid w:val="00412B47"/>
    <w:rsid w:val="00412C45"/>
    <w:rsid w:val="004157C4"/>
    <w:rsid w:val="004170BD"/>
    <w:rsid w:val="00417507"/>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D51"/>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6E1C"/>
    <w:rsid w:val="0060700F"/>
    <w:rsid w:val="00612509"/>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443B"/>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1853"/>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3D50"/>
    <w:rsid w:val="00974FD7"/>
    <w:rsid w:val="00980444"/>
    <w:rsid w:val="00982E93"/>
    <w:rsid w:val="00993266"/>
    <w:rsid w:val="00996296"/>
    <w:rsid w:val="009B0FA5"/>
    <w:rsid w:val="009B1F99"/>
    <w:rsid w:val="009B6EA6"/>
    <w:rsid w:val="009D0B32"/>
    <w:rsid w:val="009D335B"/>
    <w:rsid w:val="009D3DB6"/>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1D40"/>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3F32"/>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5ED"/>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31E3"/>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26FB3"/>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5A952EF-4C1F-4855-B6E5-51EB45E9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06E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0470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6E1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6F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06.docx" TargetMode="External"/><Relationship Id="rId13" Type="http://schemas.openxmlformats.org/officeDocument/2006/relationships/hyperlink" Target="file:///h:\sj\20190321.docx" TargetMode="External"/><Relationship Id="rId18" Type="http://schemas.openxmlformats.org/officeDocument/2006/relationships/hyperlink" Target="file:///p:\pprever\2019-20\4157_20190305.docx" TargetMode="External"/><Relationship Id="rId3" Type="http://schemas.openxmlformats.org/officeDocument/2006/relationships/settings" Target="settings.xml"/><Relationship Id="rId21" Type="http://schemas.openxmlformats.org/officeDocument/2006/relationships/hyperlink" Target="file:///p:\pprever\2019-20\4157_20190321.docx" TargetMode="External"/><Relationship Id="rId7" Type="http://schemas.openxmlformats.org/officeDocument/2006/relationships/hyperlink" Target="file:///h:\hj\20190305.docx" TargetMode="External"/><Relationship Id="rId12" Type="http://schemas.openxmlformats.org/officeDocument/2006/relationships/hyperlink" Target="file:///h:\sj\20190307.docx" TargetMode="External"/><Relationship Id="rId17" Type="http://schemas.openxmlformats.org/officeDocument/2006/relationships/hyperlink" Target="http://www.scstatehouse.gov/billsearch.php?billnumbers=4157&amp;session=123&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328.docx" TargetMode="External"/><Relationship Id="rId20" Type="http://schemas.openxmlformats.org/officeDocument/2006/relationships/hyperlink" Target="file:///p:\pprever\2019-20\4157_2019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307.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327.docx" TargetMode="External"/><Relationship Id="rId23" Type="http://schemas.openxmlformats.org/officeDocument/2006/relationships/footer" Target="footer2.xml"/><Relationship Id="rId10" Type="http://schemas.openxmlformats.org/officeDocument/2006/relationships/hyperlink" Target="file:///h:\hj\20190307.docx" TargetMode="External"/><Relationship Id="rId19" Type="http://schemas.openxmlformats.org/officeDocument/2006/relationships/hyperlink" Target="file:///p:\pprever\2019-20\4157_20190305A.docx" TargetMode="External"/><Relationship Id="rId4" Type="http://schemas.openxmlformats.org/officeDocument/2006/relationships/webSettings" Target="webSettings.xml"/><Relationship Id="rId9" Type="http://schemas.openxmlformats.org/officeDocument/2006/relationships/hyperlink" Target="file:///h:\hj\20190306.docx" TargetMode="External"/><Relationship Id="rId14" Type="http://schemas.openxmlformats.org/officeDocument/2006/relationships/hyperlink" Target="file:///h:\sj\20190327.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40492-70C6-4DFA-BEC2-0C26CDCC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4CCDBD84</Template>
  <TotalTime>0</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4157: Voting machines - South Carolina Legislature Online</dc:title>
  <dc:subject/>
  <dc:creator>Niki Downey</dc:creator>
  <cp:keywords/>
  <dc:description/>
  <cp:lastModifiedBy>Lavarres Lynch</cp:lastModifiedBy>
  <cp:revision>2</cp:revision>
  <cp:lastPrinted>2019-04-01T12:30:00Z</cp:lastPrinted>
  <dcterms:created xsi:type="dcterms:W3CDTF">2019-07-16T19:40:00Z</dcterms:created>
  <dcterms:modified xsi:type="dcterms:W3CDTF">2019-07-16T19:40:00Z</dcterms:modified>
</cp:coreProperties>
</file>