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5DA6">
        <w:rPr>
          <w:rFonts w:eastAsia="Times New Roman" w:cs="Times New Roman"/>
          <w:b/>
          <w:szCs w:val="20"/>
        </w:rPr>
        <w:t>South Carolina General Assembly</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35DA6">
        <w:rPr>
          <w:rFonts w:eastAsia="Times New Roman" w:cs="Times New Roman"/>
          <w:szCs w:val="20"/>
        </w:rPr>
        <w:t>123rd Session, 2019-2020</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DA6" w:rsidRPr="00435DA6" w:rsidRDefault="00BE202C"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A127, R130, H4246</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b/>
          <w:szCs w:val="20"/>
        </w:rPr>
        <w:t>STATUS INFORMATION</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szCs w:val="20"/>
        </w:rPr>
        <w:t>General Bill</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szCs w:val="20"/>
        </w:rPr>
        <w:t>Sponsors: Reps. Sandifer and Thayer</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szCs w:val="20"/>
        </w:rPr>
        <w:t>Document Path: l:\council\bills\agm\19595wab19.docx</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szCs w:val="20"/>
        </w:rPr>
        <w:t>Companion/Similar bill(s): 649</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840BA" w:rsidRDefault="008840BA"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2019</w:t>
      </w:r>
    </w:p>
    <w:p w:rsidR="008840BA" w:rsidRDefault="008840BA"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2019</w:t>
      </w:r>
    </w:p>
    <w:p w:rsidR="008840BA" w:rsidRDefault="008840BA"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 2019</w:t>
      </w:r>
    </w:p>
    <w:p w:rsidR="008840BA" w:rsidRDefault="008840BA"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10, 2020</w:t>
      </w:r>
    </w:p>
    <w:p w:rsidR="008840BA" w:rsidRDefault="008840BA"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24, 2020, Signed</w:t>
      </w:r>
    </w:p>
    <w:p w:rsidR="008840BA" w:rsidRDefault="008840BA"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szCs w:val="20"/>
        </w:rPr>
        <w:t>Summary: Criminal Background checks for real estate professionals</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DA6" w:rsidRPr="00435DA6" w:rsidRDefault="00435DA6" w:rsidP="00435DA6">
      <w:pPr>
        <w:widowControl w:val="0"/>
        <w:tabs>
          <w:tab w:val="center" w:pos="590"/>
          <w:tab w:val="center" w:pos="1440"/>
          <w:tab w:val="left" w:pos="1872"/>
          <w:tab w:val="left" w:pos="9187"/>
        </w:tabs>
        <w:rPr>
          <w:rFonts w:eastAsia="Times New Roman" w:cs="Times New Roman"/>
          <w:szCs w:val="20"/>
        </w:rPr>
      </w:pPr>
      <w:r w:rsidRPr="00435DA6">
        <w:rPr>
          <w:rFonts w:eastAsia="Times New Roman" w:cs="Times New Roman"/>
          <w:b/>
          <w:szCs w:val="20"/>
        </w:rPr>
        <w:t>HISTORY OF LEGISLATIVE ACTIONS</w:t>
      </w:r>
    </w:p>
    <w:p w:rsidR="00435DA6" w:rsidRPr="00435DA6" w:rsidRDefault="00435DA6" w:rsidP="00435DA6">
      <w:pPr>
        <w:widowControl w:val="0"/>
        <w:tabs>
          <w:tab w:val="center" w:pos="590"/>
          <w:tab w:val="center" w:pos="1440"/>
          <w:tab w:val="left" w:pos="1872"/>
          <w:tab w:val="left" w:pos="9187"/>
        </w:tabs>
        <w:rPr>
          <w:rFonts w:eastAsia="Times New Roman" w:cs="Times New Roman"/>
          <w:szCs w:val="20"/>
        </w:rPr>
      </w:pPr>
    </w:p>
    <w:p w:rsidR="00435DA6" w:rsidRPr="00435DA6" w:rsidRDefault="00435DA6" w:rsidP="00435DA6">
      <w:pPr>
        <w:widowControl w:val="0"/>
        <w:tabs>
          <w:tab w:val="center" w:pos="590"/>
          <w:tab w:val="center" w:pos="1440"/>
          <w:tab w:val="left" w:pos="1872"/>
          <w:tab w:val="left" w:pos="9187"/>
        </w:tabs>
        <w:rPr>
          <w:rFonts w:eastAsia="Times New Roman" w:cs="Times New Roman"/>
          <w:szCs w:val="20"/>
        </w:rPr>
      </w:pPr>
      <w:r w:rsidRPr="00435DA6">
        <w:rPr>
          <w:rFonts w:eastAsia="Times New Roman" w:cs="Times New Roman"/>
          <w:szCs w:val="20"/>
          <w:u w:val="single"/>
        </w:rPr>
        <w:tab/>
        <w:t>Date</w:t>
      </w:r>
      <w:r w:rsidRPr="00435DA6">
        <w:rPr>
          <w:rFonts w:eastAsia="Times New Roman" w:cs="Times New Roman"/>
          <w:szCs w:val="20"/>
          <w:u w:val="single"/>
        </w:rPr>
        <w:tab/>
        <w:t>Body</w:t>
      </w:r>
      <w:r w:rsidRPr="00435DA6">
        <w:rPr>
          <w:rFonts w:eastAsia="Times New Roman" w:cs="Times New Roman"/>
          <w:szCs w:val="20"/>
          <w:u w:val="single"/>
        </w:rPr>
        <w:tab/>
        <w:t>Action Description with journal page number</w:t>
      </w:r>
      <w:r w:rsidRPr="00435DA6">
        <w:rPr>
          <w:rFonts w:eastAsia="Times New Roman" w:cs="Times New Roman"/>
          <w:szCs w:val="20"/>
          <w:u w:val="single"/>
        </w:rPr>
        <w:tab/>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t>Introduced and read first time (</w:t>
      </w:r>
      <w:hyperlink r:id="rId7" w:history="1">
        <w:r w:rsidRPr="00B35183">
          <w:rPr>
            <w:rStyle w:val="Hyperlink"/>
            <w:rFonts w:cs="Times New Roman"/>
          </w:rPr>
          <w:t>House Journal</w:t>
        </w:r>
        <w:r w:rsidRPr="00B35183">
          <w:rPr>
            <w:rStyle w:val="Hyperlink"/>
            <w:rFonts w:cs="Times New Roman"/>
          </w:rPr>
          <w:noBreakHyphen/>
          <w:t>page 28</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t xml:space="preserve">Referred to Committee on </w:t>
      </w:r>
      <w:r w:rsidRPr="00B35183">
        <w:rPr>
          <w:rFonts w:cs="Times New Roman"/>
          <w:b/>
        </w:rPr>
        <w:t>Labor, Commerce and Industry</w:t>
      </w:r>
      <w:r>
        <w:rPr>
          <w:rFonts w:cs="Times New Roman"/>
        </w:rPr>
        <w:t xml:space="preserve"> (</w:t>
      </w:r>
      <w:hyperlink r:id="rId8" w:history="1">
        <w:r w:rsidRPr="00B35183">
          <w:rPr>
            <w:rStyle w:val="Hyperlink"/>
            <w:rFonts w:cs="Times New Roman"/>
          </w:rPr>
          <w:t>House Journal</w:t>
        </w:r>
        <w:r w:rsidRPr="00B35183">
          <w:rPr>
            <w:rStyle w:val="Hyperlink"/>
            <w:rFonts w:cs="Times New Roman"/>
          </w:rPr>
          <w:noBreakHyphen/>
          <w:t>page 28</w:t>
        </w:r>
      </w:hyperlink>
      <w:bookmarkStart w:id="0" w:name="_GoBack"/>
      <w:bookmarkEnd w:id="0"/>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 xml:space="preserve">Committee report: Favorable with amendment </w:t>
      </w:r>
      <w:r w:rsidRPr="00B35183">
        <w:rPr>
          <w:rFonts w:cs="Times New Roman"/>
          <w:b/>
        </w:rPr>
        <w:t>Labor, Commerce and Industry</w:t>
      </w:r>
      <w:r>
        <w:rPr>
          <w:rFonts w:cs="Times New Roman"/>
        </w:rPr>
        <w:t xml:space="preserve"> (</w:t>
      </w:r>
      <w:hyperlink r:id="rId9" w:history="1">
        <w:r w:rsidRPr="00B35183">
          <w:rPr>
            <w:rStyle w:val="Hyperlink"/>
            <w:rFonts w:cs="Times New Roman"/>
          </w:rPr>
          <w:t>House Journal</w:t>
        </w:r>
        <w:r w:rsidRPr="00B35183">
          <w:rPr>
            <w:rStyle w:val="Hyperlink"/>
            <w:rFonts w:cs="Times New Roman"/>
          </w:rPr>
          <w:noBreakHyphen/>
          <w:t>page 41</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Amended (</w:t>
      </w:r>
      <w:hyperlink r:id="rId10" w:history="1">
        <w:r w:rsidRPr="00B35183">
          <w:rPr>
            <w:rStyle w:val="Hyperlink"/>
            <w:rFonts w:cs="Times New Roman"/>
          </w:rPr>
          <w:t>House Journal</w:t>
        </w:r>
        <w:r w:rsidRPr="00B35183">
          <w:rPr>
            <w:rStyle w:val="Hyperlink"/>
            <w:rFonts w:cs="Times New Roman"/>
          </w:rPr>
          <w:noBreakHyphen/>
          <w:t>page 22</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Read second time (</w:t>
      </w:r>
      <w:hyperlink r:id="rId11" w:history="1">
        <w:r w:rsidRPr="00B35183">
          <w:rPr>
            <w:rStyle w:val="Hyperlink"/>
            <w:rFonts w:cs="Times New Roman"/>
          </w:rPr>
          <w:t>House Journal</w:t>
        </w:r>
        <w:r w:rsidRPr="00B35183">
          <w:rPr>
            <w:rStyle w:val="Hyperlink"/>
            <w:rFonts w:cs="Times New Roman"/>
          </w:rPr>
          <w:noBreakHyphen/>
          <w:t>page 22</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2" w:history="1">
        <w:r w:rsidRPr="00B35183">
          <w:rPr>
            <w:rStyle w:val="Hyperlink"/>
            <w:rFonts w:cs="Times New Roman"/>
          </w:rPr>
          <w:t>House Journal</w:t>
        </w:r>
        <w:r w:rsidRPr="00B35183">
          <w:rPr>
            <w:rStyle w:val="Hyperlink"/>
            <w:rFonts w:cs="Times New Roman"/>
          </w:rPr>
          <w:noBreakHyphen/>
          <w:t>page 23</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Read third time and sent to Senate (</w:t>
      </w:r>
      <w:hyperlink r:id="rId13" w:history="1">
        <w:r w:rsidRPr="00B35183">
          <w:rPr>
            <w:rStyle w:val="Hyperlink"/>
            <w:rFonts w:cs="Times New Roman"/>
          </w:rPr>
          <w:t>House Journal</w:t>
        </w:r>
        <w:r w:rsidRPr="00B35183">
          <w:rPr>
            <w:rStyle w:val="Hyperlink"/>
            <w:rFonts w:cs="Times New Roman"/>
          </w:rPr>
          <w:noBreakHyphen/>
          <w:t>page 21</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t>Introduced and read first time (</w:t>
      </w:r>
      <w:hyperlink r:id="rId14" w:history="1">
        <w:r w:rsidRPr="00B35183">
          <w:rPr>
            <w:rStyle w:val="Hyperlink"/>
            <w:rFonts w:cs="Times New Roman"/>
          </w:rPr>
          <w:t>Senate Journal</w:t>
        </w:r>
        <w:r w:rsidRPr="00B35183">
          <w:rPr>
            <w:rStyle w:val="Hyperlink"/>
            <w:rFonts w:cs="Times New Roman"/>
          </w:rPr>
          <w:noBreakHyphen/>
          <w:t>page 13</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t xml:space="preserve">Referred to Committee on </w:t>
      </w:r>
      <w:r w:rsidRPr="00B35183">
        <w:rPr>
          <w:rFonts w:cs="Times New Roman"/>
          <w:b/>
        </w:rPr>
        <w:t>Labor, Commerce and Industry</w:t>
      </w:r>
      <w:r>
        <w:rPr>
          <w:rFonts w:cs="Times New Roman"/>
        </w:rPr>
        <w:t xml:space="preserve"> (</w:t>
      </w:r>
      <w:hyperlink r:id="rId15" w:history="1">
        <w:r w:rsidRPr="00B35183">
          <w:rPr>
            <w:rStyle w:val="Hyperlink"/>
            <w:rFonts w:cs="Times New Roman"/>
          </w:rPr>
          <w:t>Senate Journal</w:t>
        </w:r>
        <w:r w:rsidRPr="00B35183">
          <w:rPr>
            <w:rStyle w:val="Hyperlink"/>
            <w:rFonts w:cs="Times New Roman"/>
          </w:rPr>
          <w:noBreakHyphen/>
          <w:t>page 13</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1/23/2020</w:t>
      </w:r>
      <w:r>
        <w:rPr>
          <w:rFonts w:cs="Times New Roman"/>
        </w:rPr>
        <w:tab/>
        <w:t>Senate</w:t>
      </w:r>
      <w:r>
        <w:rPr>
          <w:rFonts w:cs="Times New Roman"/>
        </w:rPr>
        <w:tab/>
        <w:t xml:space="preserve">Committee report: Favorable </w:t>
      </w:r>
      <w:r w:rsidRPr="00B35183">
        <w:rPr>
          <w:rFonts w:cs="Times New Roman"/>
          <w:b/>
        </w:rPr>
        <w:t>Labor, Commerce and Industry</w:t>
      </w:r>
      <w:r>
        <w:rPr>
          <w:rFonts w:cs="Times New Roman"/>
        </w:rPr>
        <w:t xml:space="preserve"> (</w:t>
      </w:r>
      <w:hyperlink r:id="rId16" w:history="1">
        <w:r w:rsidRPr="00B35183">
          <w:rPr>
            <w:rStyle w:val="Hyperlink"/>
            <w:rFonts w:cs="Times New Roman"/>
          </w:rPr>
          <w:t>Senate Journal</w:t>
        </w:r>
        <w:r w:rsidRPr="00B35183">
          <w:rPr>
            <w:rStyle w:val="Hyperlink"/>
            <w:rFonts w:cs="Times New Roman"/>
          </w:rPr>
          <w:noBreakHyphen/>
          <w:t>page 16</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Read second time (</w:t>
      </w:r>
      <w:hyperlink r:id="rId17" w:history="1">
        <w:r w:rsidRPr="00B35183">
          <w:rPr>
            <w:rStyle w:val="Hyperlink"/>
            <w:rFonts w:cs="Times New Roman"/>
          </w:rPr>
          <w:t>Senate Journal</w:t>
        </w:r>
        <w:r w:rsidRPr="00B35183">
          <w:rPr>
            <w:rStyle w:val="Hyperlink"/>
            <w:rFonts w:cs="Times New Roman"/>
          </w:rPr>
          <w:noBreakHyphen/>
          <w:t>page 68</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3/4/2020</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8" w:history="1">
        <w:r w:rsidRPr="00B35183">
          <w:rPr>
            <w:rStyle w:val="Hyperlink"/>
            <w:rFonts w:cs="Times New Roman"/>
          </w:rPr>
          <w:t>Senate Journal</w:t>
        </w:r>
        <w:r w:rsidRPr="00B35183">
          <w:rPr>
            <w:rStyle w:val="Hyperlink"/>
            <w:rFonts w:cs="Times New Roman"/>
          </w:rPr>
          <w:noBreakHyphen/>
          <w:t>page 68</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3/10/2020</w:t>
      </w:r>
      <w:r>
        <w:rPr>
          <w:rFonts w:cs="Times New Roman"/>
        </w:rPr>
        <w:tab/>
        <w:t>Senate</w:t>
      </w:r>
      <w:r>
        <w:rPr>
          <w:rFonts w:cs="Times New Roman"/>
        </w:rPr>
        <w:tab/>
        <w:t>Read third time and enrolled (</w:t>
      </w:r>
      <w:hyperlink r:id="rId19" w:history="1">
        <w:r w:rsidRPr="00B35183">
          <w:rPr>
            <w:rStyle w:val="Hyperlink"/>
            <w:rFonts w:cs="Times New Roman"/>
          </w:rPr>
          <w:t>Senate Journal</w:t>
        </w:r>
        <w:r w:rsidRPr="00B35183">
          <w:rPr>
            <w:rStyle w:val="Hyperlink"/>
            <w:rFonts w:cs="Times New Roman"/>
          </w:rPr>
          <w:noBreakHyphen/>
          <w:t>page 27</w:t>
        </w:r>
      </w:hyperlink>
      <w:r>
        <w:rPr>
          <w:rFonts w:cs="Times New Roman"/>
        </w:rPr>
        <w:t>)</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3/19/2020</w:t>
      </w:r>
      <w:r>
        <w:rPr>
          <w:rFonts w:cs="Times New Roman"/>
        </w:rPr>
        <w:tab/>
      </w:r>
      <w:r>
        <w:rPr>
          <w:rFonts w:cs="Times New Roman"/>
        </w:rPr>
        <w:tab/>
        <w:t>Ratified R  130</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3/24/2020</w:t>
      </w:r>
      <w:r>
        <w:rPr>
          <w:rFonts w:cs="Times New Roman"/>
        </w:rPr>
        <w:tab/>
      </w:r>
      <w:r>
        <w:rPr>
          <w:rFonts w:cs="Times New Roman"/>
        </w:rPr>
        <w:tab/>
        <w:t>Signed By Governor</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Effective date  See Act for Effective Date</w:t>
      </w:r>
    </w:p>
    <w:p w:rsidR="00177B25" w:rsidRDefault="00177B25" w:rsidP="00177B25">
      <w:pPr>
        <w:widowControl w:val="0"/>
        <w:tabs>
          <w:tab w:val="right" w:pos="1008"/>
          <w:tab w:val="left" w:pos="1152"/>
          <w:tab w:val="left" w:pos="1872"/>
          <w:tab w:val="left" w:pos="9187"/>
        </w:tabs>
        <w:ind w:left="2088" w:hanging="2088"/>
        <w:rPr>
          <w:rFonts w:cs="Times New Roman"/>
        </w:rPr>
      </w:pPr>
      <w:r>
        <w:rPr>
          <w:rFonts w:cs="Times New Roman"/>
        </w:rPr>
        <w:tab/>
        <w:t>3/26/2020</w:t>
      </w:r>
      <w:r>
        <w:rPr>
          <w:rFonts w:cs="Times New Roman"/>
        </w:rPr>
        <w:tab/>
      </w:r>
      <w:r>
        <w:rPr>
          <w:rFonts w:cs="Times New Roman"/>
        </w:rPr>
        <w:tab/>
        <w:t>Act No.  127</w:t>
      </w:r>
    </w:p>
    <w:p w:rsidR="00177B25" w:rsidRDefault="00177B25" w:rsidP="00177B25">
      <w:pPr>
        <w:widowControl w:val="0"/>
        <w:tabs>
          <w:tab w:val="right" w:pos="1008"/>
          <w:tab w:val="left" w:pos="1152"/>
          <w:tab w:val="left" w:pos="1872"/>
          <w:tab w:val="left" w:pos="9187"/>
        </w:tabs>
        <w:ind w:left="2088" w:hanging="2088"/>
        <w:rPr>
          <w:rFonts w:cs="Times New Roman"/>
        </w:rPr>
      </w:pPr>
    </w:p>
    <w:p w:rsidR="00435DA6" w:rsidRPr="00435DA6" w:rsidRDefault="00435DA6" w:rsidP="00435DA6">
      <w:pPr>
        <w:widowControl w:val="0"/>
        <w:tabs>
          <w:tab w:val="right" w:pos="1008"/>
          <w:tab w:val="left" w:pos="1152"/>
          <w:tab w:val="left" w:pos="1872"/>
          <w:tab w:val="left" w:pos="9187"/>
        </w:tabs>
        <w:ind w:left="2088" w:hanging="2088"/>
        <w:rPr>
          <w:rFonts w:eastAsia="Times New Roman" w:cs="Times New Roman"/>
          <w:szCs w:val="20"/>
        </w:rPr>
      </w:pPr>
      <w:r w:rsidRPr="00435DA6">
        <w:rPr>
          <w:rFonts w:eastAsia="Times New Roman" w:cs="Times New Roman"/>
          <w:szCs w:val="20"/>
        </w:rPr>
        <w:t xml:space="preserve">View the latest </w:t>
      </w:r>
      <w:hyperlink r:id="rId20" w:history="1">
        <w:r w:rsidRPr="00435DA6">
          <w:rPr>
            <w:rFonts w:eastAsia="Times New Roman" w:cs="Times New Roman"/>
            <w:color w:val="0000FF" w:themeColor="hyperlink"/>
            <w:szCs w:val="20"/>
            <w:u w:val="single"/>
          </w:rPr>
          <w:t>legislative information</w:t>
        </w:r>
      </w:hyperlink>
      <w:r w:rsidRPr="00435DA6">
        <w:rPr>
          <w:rFonts w:eastAsia="Times New Roman" w:cs="Times New Roman"/>
          <w:szCs w:val="20"/>
        </w:rPr>
        <w:t xml:space="preserve"> at the website</w:t>
      </w:r>
    </w:p>
    <w:p w:rsidR="00435DA6" w:rsidRPr="00435DA6" w:rsidRDefault="00435DA6" w:rsidP="00435DA6">
      <w:pPr>
        <w:widowControl w:val="0"/>
        <w:tabs>
          <w:tab w:val="right" w:pos="1008"/>
          <w:tab w:val="left" w:pos="1152"/>
          <w:tab w:val="left" w:pos="1872"/>
          <w:tab w:val="left" w:pos="9187"/>
        </w:tabs>
        <w:ind w:left="2088" w:hanging="2088"/>
        <w:rPr>
          <w:rFonts w:eastAsia="Times New Roman" w:cs="Times New Roman"/>
          <w:szCs w:val="20"/>
        </w:rPr>
      </w:pPr>
    </w:p>
    <w:p w:rsidR="00435DA6" w:rsidRPr="00435DA6" w:rsidRDefault="00435DA6" w:rsidP="00435DA6">
      <w:pPr>
        <w:widowControl w:val="0"/>
        <w:tabs>
          <w:tab w:val="right" w:pos="1008"/>
          <w:tab w:val="left" w:pos="1152"/>
          <w:tab w:val="left" w:pos="1872"/>
          <w:tab w:val="left" w:pos="9187"/>
        </w:tabs>
        <w:ind w:left="2088" w:hanging="2088"/>
        <w:rPr>
          <w:rFonts w:eastAsia="Times New Roman" w:cs="Times New Roman"/>
          <w:szCs w:val="20"/>
        </w:rPr>
      </w:pP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35DA6">
        <w:rPr>
          <w:rFonts w:eastAsia="Times New Roman" w:cs="Times New Roman"/>
          <w:b/>
          <w:szCs w:val="20"/>
        </w:rPr>
        <w:t>VERSIONS OF THIS BILL</w:t>
      </w:r>
    </w:p>
    <w:p w:rsidR="00435DA6" w:rsidRPr="00435DA6" w:rsidRDefault="00435DA6"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35DA6" w:rsidRPr="00435DA6" w:rsidRDefault="00584EE1" w:rsidP="00435DA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35DA6" w:rsidRPr="00435DA6">
          <w:rPr>
            <w:rFonts w:eastAsia="Times New Roman" w:cs="Times New Roman"/>
            <w:color w:val="0000FF" w:themeColor="hyperlink"/>
            <w:szCs w:val="20"/>
            <w:u w:val="single"/>
          </w:rPr>
          <w:t>3/13/2019</w:t>
        </w:r>
      </w:hyperlink>
    </w:p>
    <w:p w:rsidR="00435DA6" w:rsidRPr="00435DA6" w:rsidRDefault="00584EE1" w:rsidP="0043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35DA6" w:rsidRPr="00435DA6">
          <w:rPr>
            <w:rFonts w:eastAsia="Times New Roman" w:cs="Times New Roman"/>
            <w:color w:val="0000FF" w:themeColor="hyperlink"/>
            <w:szCs w:val="20"/>
            <w:u w:val="single"/>
          </w:rPr>
          <w:t>3/26/2019</w:t>
        </w:r>
      </w:hyperlink>
    </w:p>
    <w:p w:rsidR="00435DA6" w:rsidRPr="00435DA6" w:rsidRDefault="00584EE1" w:rsidP="0043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35DA6" w:rsidRPr="00435DA6">
          <w:rPr>
            <w:rFonts w:eastAsia="Times New Roman" w:cs="Times New Roman"/>
            <w:color w:val="0000FF" w:themeColor="hyperlink"/>
            <w:szCs w:val="20"/>
            <w:u w:val="single"/>
          </w:rPr>
          <w:t>4/2/2019</w:t>
        </w:r>
      </w:hyperlink>
    </w:p>
    <w:p w:rsidR="00435DA6" w:rsidRPr="00435DA6" w:rsidRDefault="00584EE1" w:rsidP="0043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35DA6" w:rsidRPr="00435DA6">
          <w:rPr>
            <w:rFonts w:eastAsia="Times New Roman" w:cs="Times New Roman"/>
            <w:color w:val="0000FF" w:themeColor="hyperlink"/>
            <w:szCs w:val="20"/>
            <w:u w:val="single"/>
          </w:rPr>
          <w:t>1/23/2020</w:t>
        </w:r>
      </w:hyperlink>
    </w:p>
    <w:p w:rsidR="00435DA6" w:rsidRPr="00435DA6" w:rsidRDefault="00435DA6" w:rsidP="0043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35DA6" w:rsidRDefault="00435DA6" w:rsidP="00435DA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35DA6" w:rsidSect="00435DA6">
          <w:pgSz w:w="12240" w:h="15840" w:code="1"/>
          <w:pgMar w:top="1080" w:right="1440" w:bottom="1080" w:left="1440" w:header="720" w:footer="720" w:gutter="0"/>
          <w:pgNumType w:start="1"/>
          <w:cols w:space="720"/>
          <w:noEndnote/>
          <w:docGrid w:linePitch="360"/>
        </w:sectPr>
      </w:pPr>
    </w:p>
    <w:p w:rsidR="00C65D7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(A127, R130, H4246)</w:t>
      </w:r>
    </w:p>
    <w:p w:rsidR="00C65D76" w:rsidRPr="008836A5"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65D76" w:rsidRPr="00435DA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35DA6">
        <w:rPr>
          <w:rFonts w:cs="Times New Roman"/>
          <w:b/>
          <w:color w:val="000000" w:themeColor="text1"/>
          <w:szCs w:val="36"/>
        </w:rPr>
        <w:t xml:space="preserve">AN ACT </w:t>
      </w:r>
      <w:r w:rsidRPr="00435DA6">
        <w:rPr>
          <w:rFonts w:cs="Times New Roman"/>
          <w:b/>
          <w:color w:val="000000" w:themeColor="text1"/>
          <w:u w:color="000000" w:themeColor="text1"/>
        </w:rPr>
        <w:t>TO AMEND ACT 60 OF 2017, RELATING TO CRIMINAL BACKGROUND CHECKS BY THE REAL ESTATE COMMISSION, SO AS TO CHANGE THE TIME EFFECTIVE DATE TO JULY 1, 2020, AND TO LIMIT APPLICABILITY OF THIS REVISED TIME EFFECTIVE DATE WITH RESPECT TO LICENSE RENEWALS.</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2419">
        <w:rPr>
          <w:rFonts w:cs="Times New Roman"/>
          <w:color w:val="000000" w:themeColor="text1"/>
          <w:u w:color="000000" w:themeColor="text1"/>
        </w:rPr>
        <w:t>Whereas, in Act 60 of 2017, the South Carolina General Assembly enacted various provisions concerning criminal background checks for licensees of the South Carolina Real Estate Commission, effective three years after approval by the Governor; and</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2419">
        <w:rPr>
          <w:rFonts w:cs="Times New Roman"/>
          <w:color w:val="000000" w:themeColor="text1"/>
          <w:u w:color="000000" w:themeColor="text1"/>
        </w:rPr>
        <w:t>Whereas, the Governor approved Act 60 of 2017 on May 19, 2017, which makes May 19, 2020, the effective date of that act; and</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0C2419">
        <w:rPr>
          <w:rFonts w:cs="Times New Roman"/>
          <w:color w:val="000000" w:themeColor="text1"/>
          <w:u w:color="000000" w:themeColor="text1"/>
        </w:rPr>
        <w:t>Whereas, the May 19, 2020, effective date falls during a licensee renewal period, which would make the criminal background check provisions applicable to some applicants for license renewal but not others, creating a disparate effect and unnecessarily complicating the renewal process for these hardworking professionals; and</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2419">
        <w:rPr>
          <w:rFonts w:cs="Times New Roman"/>
          <w:color w:val="000000" w:themeColor="text1"/>
          <w:u w:color="000000" w:themeColor="text1"/>
        </w:rPr>
        <w:t>Whereas, the General Assembly finds it necessary to revise the effective date of Act 60 of 2017 to occur immediately after the conclusion of this license renewal period.  Now, therefore,</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2419">
        <w:rPr>
          <w:rFonts w:cs="Times New Roman"/>
        </w:rPr>
        <w:t>Be it enacted by the General Assembly of the State of South Carolina:</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D7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Act 60 of 2017 effective date changed, applicability</w:t>
      </w:r>
    </w:p>
    <w:p w:rsidR="00C65D7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65D76" w:rsidRPr="00E56BBB"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2419">
        <w:rPr>
          <w:rFonts w:cs="Times New Roman"/>
          <w:u w:color="000000" w:themeColor="text1"/>
        </w:rPr>
        <w:t>SECTION</w:t>
      </w:r>
      <w:r w:rsidRPr="000C2419">
        <w:rPr>
          <w:rFonts w:cs="Times New Roman"/>
          <w:u w:color="000000" w:themeColor="text1"/>
        </w:rPr>
        <w:tab/>
        <w:t>1.</w:t>
      </w:r>
      <w:r w:rsidRPr="000C2419">
        <w:rPr>
          <w:rFonts w:cs="Times New Roman"/>
          <w:u w:color="000000" w:themeColor="text1"/>
        </w:rPr>
        <w:tab/>
        <w:t>SECTION 5 of Act 60 of 2017 is amended to read:</w:t>
      </w:r>
    </w:p>
    <w:p w:rsidR="00C65D7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2419">
        <w:rPr>
          <w:rFonts w:cs="Times New Roman"/>
          <w:u w:color="000000" w:themeColor="text1"/>
        </w:rPr>
        <w:tab/>
        <w:t>“SECTION</w:t>
      </w:r>
      <w:r w:rsidRPr="000C2419">
        <w:rPr>
          <w:rFonts w:cs="Times New Roman"/>
          <w:u w:color="000000" w:themeColor="text1"/>
        </w:rPr>
        <w:tab/>
        <w:t>5.</w:t>
      </w:r>
      <w:r w:rsidRPr="000C2419">
        <w:rPr>
          <w:rFonts w:cs="Times New Roman"/>
          <w:u w:color="000000" w:themeColor="text1"/>
        </w:rPr>
        <w:tab/>
        <w:t>This act takes effect on July 1, 2020, and with respect to license renewals is only applicable to renewals initially due after June 30, 2020.”</w:t>
      </w:r>
    </w:p>
    <w:p w:rsidR="00C65D7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65D76" w:rsidRPr="00562DE3"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C2419">
        <w:rPr>
          <w:rFonts w:cs="Times New Roman"/>
          <w:u w:color="000000" w:themeColor="text1"/>
        </w:rPr>
        <w:t>SECTION</w:t>
      </w:r>
      <w:r w:rsidRPr="000C2419">
        <w:rPr>
          <w:rFonts w:cs="Times New Roman"/>
          <w:u w:color="000000" w:themeColor="text1"/>
        </w:rPr>
        <w:tab/>
        <w:t>2.</w:t>
      </w:r>
      <w:r w:rsidRPr="000C2419">
        <w:rPr>
          <w:rFonts w:cs="Times New Roman"/>
          <w:u w:color="000000" w:themeColor="text1"/>
        </w:rPr>
        <w:tab/>
        <w:t>This act takes effect upon approval of the Governor.</w:t>
      </w:r>
    </w:p>
    <w:p w:rsidR="00C65D76" w:rsidRPr="000C2419"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65D76" w:rsidRDefault="00C65D7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2020.</w:t>
      </w:r>
    </w:p>
    <w:p w:rsidR="00C65D76" w:rsidRDefault="00C65D76" w:rsidP="00C65D76">
      <w:pPr>
        <w:jc w:val="both"/>
        <w:rPr>
          <w:color w:val="000000" w:themeColor="text1"/>
        </w:rPr>
      </w:pPr>
    </w:p>
    <w:p w:rsidR="00C65D76" w:rsidRDefault="00C65D76" w:rsidP="00C65D76">
      <w:pPr>
        <w:jc w:val="both"/>
        <w:rPr>
          <w:color w:val="000000" w:themeColor="text1"/>
        </w:rPr>
      </w:pPr>
      <w:r>
        <w:rPr>
          <w:color w:val="000000" w:themeColor="text1"/>
        </w:rPr>
        <w:lastRenderedPageBreak/>
        <w:t>Approved the 24</w:t>
      </w:r>
      <w:r w:rsidRPr="00830745">
        <w:rPr>
          <w:color w:val="000000" w:themeColor="text1"/>
          <w:vertAlign w:val="superscript"/>
        </w:rPr>
        <w:t>th</w:t>
      </w:r>
      <w:r>
        <w:rPr>
          <w:color w:val="000000" w:themeColor="text1"/>
        </w:rPr>
        <w:t xml:space="preserve"> day of March, 2020. </w:t>
      </w:r>
    </w:p>
    <w:p w:rsidR="00C65D76" w:rsidRDefault="00C65D76" w:rsidP="00C65D76">
      <w:pPr>
        <w:jc w:val="center"/>
        <w:rPr>
          <w:color w:val="000000" w:themeColor="text1"/>
        </w:rPr>
      </w:pPr>
    </w:p>
    <w:p w:rsidR="00C65D76" w:rsidRDefault="00C65D76" w:rsidP="00C65D76">
      <w:pPr>
        <w:jc w:val="center"/>
        <w:rPr>
          <w:color w:val="000000" w:themeColor="text1"/>
        </w:rPr>
      </w:pPr>
      <w:r>
        <w:rPr>
          <w:color w:val="000000" w:themeColor="text1"/>
        </w:rPr>
        <w:t>__________</w:t>
      </w:r>
    </w:p>
    <w:p w:rsidR="00435DA6" w:rsidRPr="00DD00A8" w:rsidRDefault="00435DA6" w:rsidP="00C65D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35DA6" w:rsidRPr="00DD00A8" w:rsidSect="00435DA6">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253C" w:rsidRDefault="00B8253C" w:rsidP="007D5FAC">
      <w:r>
        <w:separator/>
      </w:r>
    </w:p>
  </w:endnote>
  <w:endnote w:type="continuationSeparator" w:id="0">
    <w:p w:rsidR="00B8253C" w:rsidRDefault="00B825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DA6" w:rsidRPr="00435DA6" w:rsidRDefault="00435DA6" w:rsidP="00435DA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65D7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35DA6" w:rsidRDefault="00435DA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8253C" w:rsidRDefault="00B8253C" w:rsidP="007D5FAC">
      <w:r>
        <w:separator/>
      </w:r>
    </w:p>
  </w:footnote>
  <w:footnote w:type="continuationSeparator" w:id="0">
    <w:p w:rsidR="00B8253C" w:rsidRDefault="00B825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246"/>
    <w:docVar w:name="ActSecretary" w:val="Morris"/>
    <w:docVar w:name="ActSIdno" w:val="(139)  4246WAB20"/>
    <w:docVar w:name="clipname" w:val="4246WAB20"/>
    <w:docVar w:name="dvBillNumber" w:val="4246"/>
    <w:docVar w:name="dvBillNumberPrefix" w:val="H"/>
    <w:docVar w:name="dvOriginalBody" w:val="House"/>
    <w:docVar w:name="HOUSEACTFULLPATH" w:val="L:\COUNCIL\ACTS\4246WAB20.DOCX"/>
    <w:docVar w:name="OrigHOUSEBillNo" w:val="4246"/>
    <w:docVar w:name="WhatActtype" w:val="AN ACT"/>
  </w:docVars>
  <w:rsids>
    <w:rsidRoot w:val="00B8253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86B3D"/>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77B25"/>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29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0AC"/>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5DA6"/>
    <w:rsid w:val="004374A9"/>
    <w:rsid w:val="004411D4"/>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2DE3"/>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D66E5"/>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65B76"/>
    <w:rsid w:val="00671B28"/>
    <w:rsid w:val="00672966"/>
    <w:rsid w:val="006750A0"/>
    <w:rsid w:val="006839A3"/>
    <w:rsid w:val="00686CDD"/>
    <w:rsid w:val="00687A6A"/>
    <w:rsid w:val="0069010D"/>
    <w:rsid w:val="00690F99"/>
    <w:rsid w:val="00691B24"/>
    <w:rsid w:val="0069541C"/>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840BA"/>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51D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6615"/>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2F68"/>
    <w:rsid w:val="00A73974"/>
    <w:rsid w:val="00A74007"/>
    <w:rsid w:val="00A96A62"/>
    <w:rsid w:val="00A9741D"/>
    <w:rsid w:val="00A9744F"/>
    <w:rsid w:val="00AA3A5F"/>
    <w:rsid w:val="00AA3FFC"/>
    <w:rsid w:val="00AA464A"/>
    <w:rsid w:val="00AA4D72"/>
    <w:rsid w:val="00AA64F5"/>
    <w:rsid w:val="00AA73CD"/>
    <w:rsid w:val="00AB1AB5"/>
    <w:rsid w:val="00AB2F1E"/>
    <w:rsid w:val="00AB3341"/>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253C"/>
    <w:rsid w:val="00B83DA1"/>
    <w:rsid w:val="00B846E9"/>
    <w:rsid w:val="00B92CEA"/>
    <w:rsid w:val="00BB0EC3"/>
    <w:rsid w:val="00BB1593"/>
    <w:rsid w:val="00BB43F6"/>
    <w:rsid w:val="00BB5571"/>
    <w:rsid w:val="00BB6EF3"/>
    <w:rsid w:val="00BC5FF9"/>
    <w:rsid w:val="00BC6307"/>
    <w:rsid w:val="00BE202C"/>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5D76"/>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40A4"/>
    <w:rsid w:val="00CE13B0"/>
    <w:rsid w:val="00CE1407"/>
    <w:rsid w:val="00CE54EA"/>
    <w:rsid w:val="00CE5B85"/>
    <w:rsid w:val="00CE62ED"/>
    <w:rsid w:val="00CF5814"/>
    <w:rsid w:val="00D00681"/>
    <w:rsid w:val="00D0508E"/>
    <w:rsid w:val="00D06DCC"/>
    <w:rsid w:val="00D108A6"/>
    <w:rsid w:val="00D1180E"/>
    <w:rsid w:val="00D132DB"/>
    <w:rsid w:val="00D13C21"/>
    <w:rsid w:val="00D16DAA"/>
    <w:rsid w:val="00D17AD0"/>
    <w:rsid w:val="00D24F96"/>
    <w:rsid w:val="00D25595"/>
    <w:rsid w:val="00D25CD8"/>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00A8"/>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56BBB"/>
    <w:rsid w:val="00E60357"/>
    <w:rsid w:val="00E61B4C"/>
    <w:rsid w:val="00E71D4E"/>
    <w:rsid w:val="00E757F4"/>
    <w:rsid w:val="00E9303D"/>
    <w:rsid w:val="00EA2A3A"/>
    <w:rsid w:val="00EA77B0"/>
    <w:rsid w:val="00EB18D7"/>
    <w:rsid w:val="00EB223A"/>
    <w:rsid w:val="00EC47CE"/>
    <w:rsid w:val="00EC4D8C"/>
    <w:rsid w:val="00ED4871"/>
    <w:rsid w:val="00ED7523"/>
    <w:rsid w:val="00EE0FC5"/>
    <w:rsid w:val="00EE2F67"/>
    <w:rsid w:val="00EE663F"/>
    <w:rsid w:val="00EF0391"/>
    <w:rsid w:val="00EF0E4A"/>
    <w:rsid w:val="00EF3301"/>
    <w:rsid w:val="00EF6923"/>
    <w:rsid w:val="00F0254F"/>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9C8AD553-64BF-4DA4-B209-CE8E76CB85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35DA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D108A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35DA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72F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13.docx" TargetMode="External"/><Relationship Id="rId13" Type="http://schemas.openxmlformats.org/officeDocument/2006/relationships/hyperlink" Target="file:///h:\hj\20190403.docx" TargetMode="External"/><Relationship Id="rId18" Type="http://schemas.openxmlformats.org/officeDocument/2006/relationships/hyperlink" Target="file:///h:\sj\2020030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9-20\4246_20190313.docx" TargetMode="External"/><Relationship Id="rId7" Type="http://schemas.openxmlformats.org/officeDocument/2006/relationships/hyperlink" Target="file:///h:\hj\20190313.docx" TargetMode="External"/><Relationship Id="rId12" Type="http://schemas.openxmlformats.org/officeDocument/2006/relationships/hyperlink" Target="file:///h:\hj\20190402.docx" TargetMode="External"/><Relationship Id="rId17" Type="http://schemas.openxmlformats.org/officeDocument/2006/relationships/hyperlink" Target="file:///h:\sj\2020030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200123.docx" TargetMode="External"/><Relationship Id="rId20" Type="http://schemas.openxmlformats.org/officeDocument/2006/relationships/hyperlink" Target="http://www.scstatehouse.gov/billsearch.php?billnumbers=4246&amp;session=123&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2.docx" TargetMode="External"/><Relationship Id="rId24" Type="http://schemas.openxmlformats.org/officeDocument/2006/relationships/hyperlink" Target="file:///p:\pprever\2019-20\4246_20200123.docx" TargetMode="External"/><Relationship Id="rId5" Type="http://schemas.openxmlformats.org/officeDocument/2006/relationships/footnotes" Target="footnotes.xml"/><Relationship Id="rId15" Type="http://schemas.openxmlformats.org/officeDocument/2006/relationships/hyperlink" Target="file:///h:\sj\20190403.docx" TargetMode="External"/><Relationship Id="rId23" Type="http://schemas.openxmlformats.org/officeDocument/2006/relationships/hyperlink" Target="file:///p:\pprever\2019-20\4246_20190402.docx" TargetMode="External"/><Relationship Id="rId28" Type="http://schemas.openxmlformats.org/officeDocument/2006/relationships/theme" Target="theme/theme1.xml"/><Relationship Id="rId10" Type="http://schemas.openxmlformats.org/officeDocument/2006/relationships/hyperlink" Target="file:///h:\hj\20190402.docx" TargetMode="External"/><Relationship Id="rId19" Type="http://schemas.openxmlformats.org/officeDocument/2006/relationships/hyperlink" Target="file:///h:\sj\20200310.docx" TargetMode="External"/><Relationship Id="rId4" Type="http://schemas.openxmlformats.org/officeDocument/2006/relationships/webSettings" Target="webSettings.xml"/><Relationship Id="rId9" Type="http://schemas.openxmlformats.org/officeDocument/2006/relationships/hyperlink" Target="file:///h:\hj\20190326.docx" TargetMode="External"/><Relationship Id="rId14" Type="http://schemas.openxmlformats.org/officeDocument/2006/relationships/hyperlink" Target="file:///h:\sj\20190403.docx" TargetMode="External"/><Relationship Id="rId22" Type="http://schemas.openxmlformats.org/officeDocument/2006/relationships/hyperlink" Target="file:///p:\pprever\2019-20\4246_2019032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D4DD0D7-3456-49F6-95AA-9D1558A93FD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96E49A63</Template>
  <TotalTime>0</TotalTime>
  <Pages>4</Pages>
  <Words>669</Words>
  <Characters>3816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4246: Criminal Background checks for real estate professionals - South Carolina Legislature Online</dc:title>
  <dc:subject/>
  <dc:creator>Stacey Morris</dc:creator>
  <cp:keywords/>
  <dc:description/>
  <cp:lastModifiedBy>Lavarres Lynch</cp:lastModifiedBy>
  <cp:revision>2</cp:revision>
  <dcterms:created xsi:type="dcterms:W3CDTF">2020-05-20T17:58:00Z</dcterms:created>
  <dcterms:modified xsi:type="dcterms:W3CDTF">2020-05-20T17:58:00Z</dcterms:modified>
</cp:coreProperties>
</file>