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2B41">
        <w:rPr>
          <w:rFonts w:cs="Times New Roman"/>
          <w:b/>
        </w:rPr>
        <w:t>South Carolina General Assembly</w:t>
      </w: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E2B41">
        <w:rPr>
          <w:rFonts w:cs="Times New Roman"/>
        </w:rPr>
        <w:t>123rd Session, 2019-2020</w:t>
      </w: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2B41" w:rsidRPr="008E2B41" w:rsidRDefault="00732048"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A139, R144, S455</w:t>
      </w: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2B41">
        <w:rPr>
          <w:rFonts w:cs="Times New Roman"/>
          <w:b/>
        </w:rPr>
        <w:t>STATUS INFORMATION</w:t>
      </w: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2B41">
        <w:rPr>
          <w:rFonts w:cs="Times New Roman"/>
        </w:rPr>
        <w:t>General Bill</w:t>
      </w: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2B41">
        <w:rPr>
          <w:rFonts w:cs="Times New Roman"/>
        </w:rPr>
        <w:t>Sponsors: Senators Alexander, Climer and Davis</w:t>
      </w: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2B41">
        <w:rPr>
          <w:rFonts w:cs="Times New Roman"/>
        </w:rPr>
        <w:t>Document Path: l:\s-res\tca\013mili.kmm.tca.docx</w:t>
      </w: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2B41">
        <w:rPr>
          <w:rFonts w:cs="Times New Roman"/>
        </w:rPr>
        <w:t>Companion/Similar bill(s): 3263</w:t>
      </w: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6B5D" w:rsidRDefault="002A6B5D"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29, 2019</w:t>
      </w:r>
    </w:p>
    <w:p w:rsidR="002A6B5D" w:rsidRDefault="002A6B5D"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7, 2019</w:t>
      </w:r>
    </w:p>
    <w:p w:rsidR="002A6B5D" w:rsidRDefault="002A6B5D"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2020</w:t>
      </w:r>
    </w:p>
    <w:p w:rsidR="002A6B5D" w:rsidRDefault="002A6B5D"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2020</w:t>
      </w:r>
    </w:p>
    <w:p w:rsidR="002A6B5D" w:rsidRDefault="002A6B5D"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26, 2020, Signed</w:t>
      </w:r>
    </w:p>
    <w:p w:rsidR="002A6B5D" w:rsidRDefault="002A6B5D"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2B41">
        <w:rPr>
          <w:rFonts w:cs="Times New Roman"/>
        </w:rPr>
        <w:t>Summary: Professional licenses, temporary</w:t>
      </w: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2B41" w:rsidRPr="008E2B41" w:rsidRDefault="008E2B41" w:rsidP="008E2B41">
      <w:pPr>
        <w:widowControl w:val="0"/>
        <w:tabs>
          <w:tab w:val="center" w:pos="590"/>
          <w:tab w:val="center" w:pos="1440"/>
          <w:tab w:val="left" w:pos="1872"/>
          <w:tab w:val="left" w:pos="9187"/>
        </w:tabs>
        <w:rPr>
          <w:rFonts w:cs="Times New Roman"/>
        </w:rPr>
      </w:pPr>
      <w:r w:rsidRPr="008E2B41">
        <w:rPr>
          <w:rFonts w:cs="Times New Roman"/>
          <w:b/>
        </w:rPr>
        <w:t>HISTORY OF LEGISLATIVE ACTIONS</w:t>
      </w:r>
    </w:p>
    <w:p w:rsidR="008E2B41" w:rsidRPr="008E2B41" w:rsidRDefault="008E2B41" w:rsidP="008E2B41">
      <w:pPr>
        <w:widowControl w:val="0"/>
        <w:tabs>
          <w:tab w:val="center" w:pos="590"/>
          <w:tab w:val="center" w:pos="1440"/>
          <w:tab w:val="left" w:pos="1872"/>
          <w:tab w:val="left" w:pos="9187"/>
        </w:tabs>
        <w:rPr>
          <w:rFonts w:cs="Times New Roman"/>
        </w:rPr>
      </w:pPr>
    </w:p>
    <w:p w:rsidR="008E2B41" w:rsidRPr="008E2B41" w:rsidRDefault="008E2B41" w:rsidP="008E2B41">
      <w:pPr>
        <w:widowControl w:val="0"/>
        <w:tabs>
          <w:tab w:val="center" w:pos="590"/>
          <w:tab w:val="center" w:pos="1440"/>
          <w:tab w:val="left" w:pos="1872"/>
          <w:tab w:val="left" w:pos="9187"/>
        </w:tabs>
        <w:rPr>
          <w:rFonts w:cs="Times New Roman"/>
        </w:rPr>
      </w:pPr>
      <w:r w:rsidRPr="008E2B41">
        <w:rPr>
          <w:rFonts w:cs="Times New Roman"/>
          <w:u w:val="single"/>
        </w:rPr>
        <w:tab/>
        <w:t>Date</w:t>
      </w:r>
      <w:r w:rsidRPr="008E2B41">
        <w:rPr>
          <w:rFonts w:cs="Times New Roman"/>
          <w:u w:val="single"/>
        </w:rPr>
        <w:tab/>
        <w:t>Body</w:t>
      </w:r>
      <w:r w:rsidRPr="008E2B41">
        <w:rPr>
          <w:rFonts w:cs="Times New Roman"/>
          <w:u w:val="single"/>
        </w:rPr>
        <w:tab/>
        <w:t>Action Description with journal page number</w:t>
      </w:r>
      <w:r w:rsidRPr="008E2B41">
        <w:rPr>
          <w:rFonts w:cs="Times New Roman"/>
          <w:u w:val="single"/>
        </w:rPr>
        <w:tab/>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t>Introduced and read first time (</w:t>
      </w:r>
      <w:hyperlink r:id="rId6" w:history="1">
        <w:r w:rsidRPr="004321FF">
          <w:rPr>
            <w:rStyle w:val="Hyperlink"/>
            <w:rFonts w:cs="Times New Roman"/>
          </w:rPr>
          <w:t>Senate Journal</w:t>
        </w:r>
        <w:r w:rsidRPr="004321FF">
          <w:rPr>
            <w:rStyle w:val="Hyperlink"/>
            <w:rFonts w:cs="Times New Roman"/>
          </w:rPr>
          <w:noBreakHyphen/>
          <w:t>page 10</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t xml:space="preserve">Referred to Committee on </w:t>
      </w:r>
      <w:r w:rsidRPr="004321FF">
        <w:rPr>
          <w:rFonts w:cs="Times New Roman"/>
          <w:b/>
        </w:rPr>
        <w:t>Labor, Commerce and Industry</w:t>
      </w:r>
      <w:r>
        <w:rPr>
          <w:rFonts w:cs="Times New Roman"/>
        </w:rPr>
        <w:t xml:space="preserve"> (</w:t>
      </w:r>
      <w:hyperlink r:id="rId7" w:history="1">
        <w:r w:rsidRPr="004321FF">
          <w:rPr>
            <w:rStyle w:val="Hyperlink"/>
            <w:rFonts w:cs="Times New Roman"/>
          </w:rPr>
          <w:t>Senate Journal</w:t>
        </w:r>
        <w:r w:rsidRPr="004321FF">
          <w:rPr>
            <w:rStyle w:val="Hyperlink"/>
            <w:rFonts w:cs="Times New Roman"/>
          </w:rPr>
          <w:noBreakHyphen/>
          <w:t>page 10</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Senate</w:t>
      </w:r>
      <w:r>
        <w:rPr>
          <w:rFonts w:cs="Times New Roman"/>
        </w:rPr>
        <w:tab/>
        <w:t xml:space="preserve">Committee report: Favorable </w:t>
      </w:r>
      <w:r w:rsidRPr="004321FF">
        <w:rPr>
          <w:rFonts w:cs="Times New Roman"/>
          <w:b/>
        </w:rPr>
        <w:t>Labor, Commerce and Industry</w:t>
      </w:r>
      <w:r>
        <w:rPr>
          <w:rFonts w:cs="Times New Roman"/>
        </w:rPr>
        <w:t xml:space="preserve"> (</w:t>
      </w:r>
      <w:hyperlink r:id="rId8" w:history="1">
        <w:r w:rsidRPr="004321FF">
          <w:rPr>
            <w:rStyle w:val="Hyperlink"/>
            <w:rFonts w:cs="Times New Roman"/>
          </w:rPr>
          <w:t>Senate Journal</w:t>
        </w:r>
        <w:r w:rsidRPr="004321FF">
          <w:rPr>
            <w:rStyle w:val="Hyperlink"/>
            <w:rFonts w:cs="Times New Roman"/>
          </w:rPr>
          <w:noBreakHyphen/>
          <w:t>page 9</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t>Amended (</w:t>
      </w:r>
      <w:hyperlink r:id="rId9" w:history="1">
        <w:r w:rsidRPr="004321FF">
          <w:rPr>
            <w:rStyle w:val="Hyperlink"/>
            <w:rFonts w:cs="Times New Roman"/>
          </w:rPr>
          <w:t>Senate Journal</w:t>
        </w:r>
        <w:r w:rsidRPr="004321FF">
          <w:rPr>
            <w:rStyle w:val="Hyperlink"/>
            <w:rFonts w:cs="Times New Roman"/>
          </w:rPr>
          <w:noBreakHyphen/>
          <w:t>page 17</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t>Read second time (</w:t>
      </w:r>
      <w:hyperlink r:id="rId10" w:history="1">
        <w:r w:rsidRPr="004321FF">
          <w:rPr>
            <w:rStyle w:val="Hyperlink"/>
            <w:rFonts w:cs="Times New Roman"/>
          </w:rPr>
          <w:t>Senate Journal</w:t>
        </w:r>
        <w:r w:rsidRPr="004321FF">
          <w:rPr>
            <w:rStyle w:val="Hyperlink"/>
            <w:rFonts w:cs="Times New Roman"/>
          </w:rPr>
          <w:noBreakHyphen/>
          <w:t>page 17</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1" w:history="1">
        <w:r w:rsidRPr="004321FF">
          <w:rPr>
            <w:rStyle w:val="Hyperlink"/>
            <w:rFonts w:cs="Times New Roman"/>
          </w:rPr>
          <w:t>Senate Journal</w:t>
        </w:r>
        <w:r w:rsidRPr="004321FF">
          <w:rPr>
            <w:rStyle w:val="Hyperlink"/>
            <w:rFonts w:cs="Times New Roman"/>
          </w:rPr>
          <w:noBreakHyphen/>
          <w:t>page 17</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t>Read third time and sent to House (</w:t>
      </w:r>
      <w:hyperlink r:id="rId12" w:history="1">
        <w:r w:rsidRPr="004321FF">
          <w:rPr>
            <w:rStyle w:val="Hyperlink"/>
            <w:rFonts w:cs="Times New Roman"/>
          </w:rPr>
          <w:t>Senate Journal</w:t>
        </w:r>
        <w:r w:rsidRPr="004321FF">
          <w:rPr>
            <w:rStyle w:val="Hyperlink"/>
            <w:rFonts w:cs="Times New Roman"/>
          </w:rPr>
          <w:noBreakHyphen/>
          <w:t>page 15</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t>Introduced and read first time (</w:t>
      </w:r>
      <w:hyperlink r:id="rId13" w:history="1">
        <w:r w:rsidRPr="004321FF">
          <w:rPr>
            <w:rStyle w:val="Hyperlink"/>
            <w:rFonts w:cs="Times New Roman"/>
          </w:rPr>
          <w:t>House Journal</w:t>
        </w:r>
        <w:r w:rsidRPr="004321FF">
          <w:rPr>
            <w:rStyle w:val="Hyperlink"/>
            <w:rFonts w:cs="Times New Roman"/>
          </w:rPr>
          <w:noBreakHyphen/>
          <w:t>page 83</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t xml:space="preserve">Referred to Committee on </w:t>
      </w:r>
      <w:r w:rsidRPr="004321FF">
        <w:rPr>
          <w:rFonts w:cs="Times New Roman"/>
          <w:b/>
        </w:rPr>
        <w:t>Labor, Commerce and Industry</w:t>
      </w:r>
      <w:r>
        <w:rPr>
          <w:rFonts w:cs="Times New Roman"/>
        </w:rPr>
        <w:t xml:space="preserve"> (</w:t>
      </w:r>
      <w:hyperlink r:id="rId14" w:history="1">
        <w:r w:rsidRPr="004321FF">
          <w:rPr>
            <w:rStyle w:val="Hyperlink"/>
            <w:rFonts w:cs="Times New Roman"/>
          </w:rPr>
          <w:t>House Journal</w:t>
        </w:r>
        <w:r w:rsidRPr="004321FF">
          <w:rPr>
            <w:rStyle w:val="Hyperlink"/>
            <w:rFonts w:cs="Times New Roman"/>
          </w:rPr>
          <w:noBreakHyphen/>
          <w:t>page 83</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House</w:t>
      </w:r>
      <w:r>
        <w:rPr>
          <w:rFonts w:cs="Times New Roman"/>
        </w:rPr>
        <w:tab/>
        <w:t xml:space="preserve">Committee report: Favorable with amendment </w:t>
      </w:r>
      <w:r w:rsidRPr="004321FF">
        <w:rPr>
          <w:rFonts w:cs="Times New Roman"/>
          <w:b/>
        </w:rPr>
        <w:t>Labor, Commerce and Industry</w:t>
      </w:r>
      <w:r>
        <w:rPr>
          <w:rFonts w:cs="Times New Roman"/>
        </w:rPr>
        <w:t xml:space="preserve"> (</w:t>
      </w:r>
      <w:hyperlink r:id="rId15" w:history="1">
        <w:r w:rsidRPr="004321FF">
          <w:rPr>
            <w:rStyle w:val="Hyperlink"/>
            <w:rFonts w:cs="Times New Roman"/>
          </w:rPr>
          <w:t>House Journal</w:t>
        </w:r>
        <w:r w:rsidRPr="004321FF">
          <w:rPr>
            <w:rStyle w:val="Hyperlink"/>
            <w:rFonts w:cs="Times New Roman"/>
          </w:rPr>
          <w:noBreakHyphen/>
          <w:t>page 6</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House</w:t>
      </w:r>
      <w:r>
        <w:rPr>
          <w:rFonts w:cs="Times New Roman"/>
        </w:rPr>
        <w:tab/>
        <w:t>Amended (</w:t>
      </w:r>
      <w:hyperlink r:id="rId16" w:history="1">
        <w:r w:rsidRPr="004321FF">
          <w:rPr>
            <w:rStyle w:val="Hyperlink"/>
            <w:rFonts w:cs="Times New Roman"/>
          </w:rPr>
          <w:t>House Journal</w:t>
        </w:r>
        <w:r w:rsidRPr="004321FF">
          <w:rPr>
            <w:rStyle w:val="Hyperlink"/>
            <w:rFonts w:cs="Times New Roman"/>
          </w:rPr>
          <w:noBreakHyphen/>
          <w:t>page 15</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House</w:t>
      </w:r>
      <w:r>
        <w:rPr>
          <w:rFonts w:cs="Times New Roman"/>
        </w:rPr>
        <w:tab/>
        <w:t>Read second time (</w:t>
      </w:r>
      <w:hyperlink r:id="rId17" w:history="1">
        <w:r w:rsidRPr="004321FF">
          <w:rPr>
            <w:rStyle w:val="Hyperlink"/>
            <w:rFonts w:cs="Times New Roman"/>
          </w:rPr>
          <w:t>House Journal</w:t>
        </w:r>
        <w:r w:rsidRPr="004321FF">
          <w:rPr>
            <w:rStyle w:val="Hyperlink"/>
            <w:rFonts w:cs="Times New Roman"/>
          </w:rPr>
          <w:noBreakHyphen/>
          <w:t>page 15</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House</w:t>
      </w:r>
      <w:r>
        <w:rPr>
          <w:rFonts w:cs="Times New Roman"/>
        </w:rPr>
        <w:tab/>
        <w:t>Roll call Yeas</w:t>
      </w:r>
      <w:r>
        <w:rPr>
          <w:rFonts w:cs="Times New Roman"/>
        </w:rPr>
        <w:noBreakHyphen/>
        <w:t>96  Nays</w:t>
      </w:r>
      <w:r>
        <w:rPr>
          <w:rFonts w:cs="Times New Roman"/>
        </w:rPr>
        <w:noBreakHyphen/>
        <w:t>0 (</w:t>
      </w:r>
      <w:hyperlink r:id="rId18" w:history="1">
        <w:r w:rsidRPr="004321FF">
          <w:rPr>
            <w:rStyle w:val="Hyperlink"/>
            <w:rFonts w:cs="Times New Roman"/>
          </w:rPr>
          <w:t>House Journal</w:t>
        </w:r>
        <w:r w:rsidRPr="004321FF">
          <w:rPr>
            <w:rStyle w:val="Hyperlink"/>
            <w:rFonts w:cs="Times New Roman"/>
          </w:rPr>
          <w:noBreakHyphen/>
          <w:t>page 18</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t>Read third time and returned to Senate with amendments (</w:t>
      </w:r>
      <w:hyperlink r:id="rId19" w:history="1">
        <w:r w:rsidRPr="004321FF">
          <w:rPr>
            <w:rStyle w:val="Hyperlink"/>
            <w:rFonts w:cs="Times New Roman"/>
          </w:rPr>
          <w:t>House Journal</w:t>
        </w:r>
        <w:r w:rsidRPr="004321FF">
          <w:rPr>
            <w:rStyle w:val="Hyperlink"/>
            <w:rFonts w:cs="Times New Roman"/>
          </w:rPr>
          <w:noBreakHyphen/>
          <w:t>page 25</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House amendment amended (</w:t>
      </w:r>
      <w:hyperlink r:id="rId20" w:history="1">
        <w:r w:rsidRPr="004321FF">
          <w:rPr>
            <w:rStyle w:val="Hyperlink"/>
            <w:rFonts w:cs="Times New Roman"/>
          </w:rPr>
          <w:t>Senate Journal</w:t>
        </w:r>
        <w:r w:rsidRPr="004321FF">
          <w:rPr>
            <w:rStyle w:val="Hyperlink"/>
            <w:rFonts w:cs="Times New Roman"/>
          </w:rPr>
          <w:noBreakHyphen/>
          <w:t>page 138</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1" w:history="1">
        <w:r w:rsidRPr="004321FF">
          <w:rPr>
            <w:rStyle w:val="Hyperlink"/>
            <w:rFonts w:cs="Times New Roman"/>
          </w:rPr>
          <w:t>Senate Journal</w:t>
        </w:r>
        <w:r w:rsidRPr="004321FF">
          <w:rPr>
            <w:rStyle w:val="Hyperlink"/>
            <w:rFonts w:cs="Times New Roman"/>
          </w:rPr>
          <w:noBreakHyphen/>
          <w:t>page 138</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Roll call Ayes</w:t>
      </w:r>
      <w:r>
        <w:rPr>
          <w:rFonts w:cs="Times New Roman"/>
        </w:rPr>
        <w:noBreakHyphen/>
        <w:t>41  Nays</w:t>
      </w:r>
      <w:r>
        <w:rPr>
          <w:rFonts w:cs="Times New Roman"/>
        </w:rPr>
        <w:noBreakHyphen/>
        <w:t>1 (</w:t>
      </w:r>
      <w:hyperlink r:id="rId22" w:history="1">
        <w:r w:rsidRPr="004321FF">
          <w:rPr>
            <w:rStyle w:val="Hyperlink"/>
            <w:rFonts w:cs="Times New Roman"/>
          </w:rPr>
          <w:t>Senate Journal</w:t>
        </w:r>
        <w:r w:rsidRPr="004321FF">
          <w:rPr>
            <w:rStyle w:val="Hyperlink"/>
            <w:rFonts w:cs="Times New Roman"/>
          </w:rPr>
          <w:noBreakHyphen/>
          <w:t>page 138</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23" w:history="1">
        <w:r w:rsidRPr="004321FF">
          <w:rPr>
            <w:rStyle w:val="Hyperlink"/>
            <w:rFonts w:cs="Times New Roman"/>
          </w:rPr>
          <w:t>Senate Journal</w:t>
        </w:r>
        <w:r w:rsidRPr="004321FF">
          <w:rPr>
            <w:rStyle w:val="Hyperlink"/>
            <w:rFonts w:cs="Times New Roman"/>
          </w:rPr>
          <w:noBreakHyphen/>
          <w:t>page 138</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Returned to House with amendments (</w:t>
      </w:r>
      <w:hyperlink r:id="rId24" w:history="1">
        <w:r w:rsidRPr="004321FF">
          <w:rPr>
            <w:rStyle w:val="Hyperlink"/>
            <w:rFonts w:cs="Times New Roman"/>
          </w:rPr>
          <w:t>Senate Journal</w:t>
        </w:r>
        <w:r w:rsidRPr="004321FF">
          <w:rPr>
            <w:rStyle w:val="Hyperlink"/>
            <w:rFonts w:cs="Times New Roman"/>
          </w:rPr>
          <w:noBreakHyphen/>
          <w:t>page 138</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Non</w:t>
      </w:r>
      <w:r>
        <w:rPr>
          <w:rFonts w:cs="Times New Roman"/>
        </w:rPr>
        <w:noBreakHyphen/>
        <w:t>concurrence in Senate amendment (</w:t>
      </w:r>
      <w:hyperlink r:id="rId25" w:history="1">
        <w:r w:rsidRPr="004321FF">
          <w:rPr>
            <w:rStyle w:val="Hyperlink"/>
            <w:rFonts w:cs="Times New Roman"/>
          </w:rPr>
          <w:t>House Journal</w:t>
        </w:r>
        <w:r w:rsidRPr="004321FF">
          <w:rPr>
            <w:rStyle w:val="Hyperlink"/>
            <w:rFonts w:cs="Times New Roman"/>
          </w:rPr>
          <w:noBreakHyphen/>
          <w:t>page 112</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Roll call Yeas</w:t>
      </w:r>
      <w:r>
        <w:rPr>
          <w:rFonts w:cs="Times New Roman"/>
        </w:rPr>
        <w:noBreakHyphen/>
        <w:t>0  Nays</w:t>
      </w:r>
      <w:r>
        <w:rPr>
          <w:rFonts w:cs="Times New Roman"/>
        </w:rPr>
        <w:noBreakHyphen/>
        <w:t>108 (</w:t>
      </w:r>
      <w:hyperlink r:id="rId26" w:history="1">
        <w:r w:rsidRPr="004321FF">
          <w:rPr>
            <w:rStyle w:val="Hyperlink"/>
            <w:rFonts w:cs="Times New Roman"/>
          </w:rPr>
          <w:t>House Journal</w:t>
        </w:r>
        <w:r w:rsidRPr="004321FF">
          <w:rPr>
            <w:rStyle w:val="Hyperlink"/>
            <w:rFonts w:cs="Times New Roman"/>
          </w:rPr>
          <w:noBreakHyphen/>
          <w:t>page 113</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t>Senate insists upon amendment and conference committee appointed   Gambrell, Scott, Davis (</w:t>
      </w:r>
      <w:hyperlink r:id="rId27" w:history="1">
        <w:r w:rsidRPr="004321FF">
          <w:rPr>
            <w:rStyle w:val="Hyperlink"/>
            <w:rFonts w:cs="Times New Roman"/>
          </w:rPr>
          <w:t>Senate Journal</w:t>
        </w:r>
        <w:r w:rsidRPr="004321FF">
          <w:rPr>
            <w:rStyle w:val="Hyperlink"/>
            <w:rFonts w:cs="Times New Roman"/>
          </w:rPr>
          <w:noBreakHyphen/>
          <w:t>page 55</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1/28/2020</w:t>
      </w:r>
      <w:r>
        <w:rPr>
          <w:rFonts w:cs="Times New Roman"/>
        </w:rPr>
        <w:tab/>
        <w:t>House</w:t>
      </w:r>
      <w:r>
        <w:rPr>
          <w:rFonts w:cs="Times New Roman"/>
        </w:rPr>
        <w:tab/>
        <w:t>Conference committee appointed  West, Caskey, Ott (</w:t>
      </w:r>
      <w:hyperlink r:id="rId28" w:history="1">
        <w:r w:rsidRPr="004321FF">
          <w:rPr>
            <w:rStyle w:val="Hyperlink"/>
            <w:rFonts w:cs="Times New Roman"/>
          </w:rPr>
          <w:t>House Journal</w:t>
        </w:r>
        <w:r w:rsidRPr="004321FF">
          <w:rPr>
            <w:rStyle w:val="Hyperlink"/>
            <w:rFonts w:cs="Times New Roman"/>
          </w:rPr>
          <w:noBreakHyphen/>
          <w:t>page 22</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Senate</w:t>
      </w:r>
      <w:r>
        <w:rPr>
          <w:rFonts w:cs="Times New Roman"/>
        </w:rPr>
        <w:tab/>
        <w:t>Conference report received and adopted (</w:t>
      </w:r>
      <w:hyperlink r:id="rId29" w:history="1">
        <w:r w:rsidRPr="004321FF">
          <w:rPr>
            <w:rStyle w:val="Hyperlink"/>
            <w:rFonts w:cs="Times New Roman"/>
          </w:rPr>
          <w:t>Senate Journal</w:t>
        </w:r>
        <w:r w:rsidRPr="004321FF">
          <w:rPr>
            <w:rStyle w:val="Hyperlink"/>
            <w:rFonts w:cs="Times New Roman"/>
          </w:rPr>
          <w:noBreakHyphen/>
          <w:t>page 36</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30" w:history="1">
        <w:r w:rsidRPr="004321FF">
          <w:rPr>
            <w:rStyle w:val="Hyperlink"/>
            <w:rFonts w:cs="Times New Roman"/>
          </w:rPr>
          <w:t>Senate Journal</w:t>
        </w:r>
        <w:r w:rsidRPr="004321FF">
          <w:rPr>
            <w:rStyle w:val="Hyperlink"/>
            <w:rFonts w:cs="Times New Roman"/>
          </w:rPr>
          <w:noBreakHyphen/>
          <w:t>page 36</w:t>
        </w:r>
      </w:hyperlink>
      <w:r>
        <w:rPr>
          <w:rFonts w:cs="Times New Roman"/>
        </w:rPr>
        <w:t>)</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lastRenderedPageBreak/>
        <w:tab/>
        <w:t>5/12/2020</w:t>
      </w:r>
      <w:r>
        <w:rPr>
          <w:rFonts w:cs="Times New Roman"/>
        </w:rPr>
        <w:tab/>
        <w:t>House</w:t>
      </w:r>
      <w:r>
        <w:rPr>
          <w:rFonts w:cs="Times New Roman"/>
        </w:rPr>
        <w:tab/>
        <w:t>Conference report adopted</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Roll call Yeas</w:t>
      </w:r>
      <w:r>
        <w:rPr>
          <w:rFonts w:cs="Times New Roman"/>
        </w:rPr>
        <w:noBreakHyphen/>
        <w:t>113  Nays</w:t>
      </w:r>
      <w:r>
        <w:rPr>
          <w:rFonts w:cs="Times New Roman"/>
        </w:rPr>
        <w:noBreakHyphen/>
        <w:t>0</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Ordered enrolled for ratification</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5/21/2020</w:t>
      </w:r>
      <w:r>
        <w:rPr>
          <w:rFonts w:cs="Times New Roman"/>
        </w:rPr>
        <w:tab/>
      </w:r>
      <w:r>
        <w:rPr>
          <w:rFonts w:cs="Times New Roman"/>
        </w:rPr>
        <w:tab/>
        <w:t>Ratified R  144</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5/26/2020</w:t>
      </w:r>
      <w:r>
        <w:rPr>
          <w:rFonts w:cs="Times New Roman"/>
        </w:rPr>
        <w:tab/>
      </w:r>
      <w:r>
        <w:rPr>
          <w:rFonts w:cs="Times New Roman"/>
        </w:rPr>
        <w:tab/>
        <w:t>Signed By Governor</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5/28/2020</w:t>
      </w:r>
      <w:r>
        <w:rPr>
          <w:rFonts w:cs="Times New Roman"/>
        </w:rPr>
        <w:tab/>
      </w:r>
      <w:r>
        <w:rPr>
          <w:rFonts w:cs="Times New Roman"/>
        </w:rPr>
        <w:tab/>
        <w:t>Effective date  05/26/20</w:t>
      </w:r>
    </w:p>
    <w:p w:rsidR="003C5DBD" w:rsidRDefault="003C5DBD" w:rsidP="003C5DBD">
      <w:pPr>
        <w:widowControl w:val="0"/>
        <w:tabs>
          <w:tab w:val="right" w:pos="1008"/>
          <w:tab w:val="left" w:pos="1152"/>
          <w:tab w:val="left" w:pos="1872"/>
          <w:tab w:val="left" w:pos="9187"/>
        </w:tabs>
        <w:ind w:left="2088" w:hanging="2088"/>
        <w:rPr>
          <w:rFonts w:cs="Times New Roman"/>
        </w:rPr>
      </w:pPr>
      <w:r>
        <w:rPr>
          <w:rFonts w:cs="Times New Roman"/>
        </w:rPr>
        <w:tab/>
        <w:t>5/28/2020</w:t>
      </w:r>
      <w:r>
        <w:rPr>
          <w:rFonts w:cs="Times New Roman"/>
        </w:rPr>
        <w:tab/>
      </w:r>
      <w:r>
        <w:rPr>
          <w:rFonts w:cs="Times New Roman"/>
        </w:rPr>
        <w:tab/>
        <w:t>Act No.  139</w:t>
      </w:r>
    </w:p>
    <w:p w:rsidR="003C5DBD" w:rsidRDefault="003C5DBD" w:rsidP="003C5DBD">
      <w:pPr>
        <w:widowControl w:val="0"/>
        <w:tabs>
          <w:tab w:val="right" w:pos="1008"/>
          <w:tab w:val="left" w:pos="1152"/>
          <w:tab w:val="left" w:pos="1872"/>
          <w:tab w:val="left" w:pos="9187"/>
        </w:tabs>
        <w:ind w:left="2088" w:hanging="2088"/>
        <w:rPr>
          <w:rFonts w:cs="Times New Roman"/>
        </w:rPr>
      </w:pPr>
    </w:p>
    <w:p w:rsidR="008E2B41" w:rsidRPr="008E2B41" w:rsidRDefault="008E2B41" w:rsidP="008E2B41">
      <w:pPr>
        <w:widowControl w:val="0"/>
        <w:tabs>
          <w:tab w:val="right" w:pos="1008"/>
          <w:tab w:val="left" w:pos="1152"/>
          <w:tab w:val="left" w:pos="1872"/>
          <w:tab w:val="left" w:pos="9187"/>
        </w:tabs>
        <w:ind w:left="2088" w:hanging="2088"/>
        <w:rPr>
          <w:rFonts w:cs="Times New Roman"/>
        </w:rPr>
      </w:pPr>
      <w:bookmarkStart w:id="0" w:name="_GoBack"/>
      <w:bookmarkEnd w:id="0"/>
      <w:r w:rsidRPr="008E2B41">
        <w:rPr>
          <w:rFonts w:cs="Times New Roman"/>
        </w:rPr>
        <w:t xml:space="preserve">View the latest </w:t>
      </w:r>
      <w:hyperlink r:id="rId31" w:history="1">
        <w:r w:rsidRPr="008E2B41">
          <w:rPr>
            <w:rFonts w:cs="Times New Roman"/>
            <w:color w:val="0000FF" w:themeColor="hyperlink"/>
            <w:u w:val="single"/>
          </w:rPr>
          <w:t>legislative information</w:t>
        </w:r>
      </w:hyperlink>
      <w:r w:rsidRPr="008E2B41">
        <w:rPr>
          <w:rFonts w:cs="Times New Roman"/>
        </w:rPr>
        <w:t xml:space="preserve"> at the website</w:t>
      </w:r>
    </w:p>
    <w:p w:rsidR="008E2B41" w:rsidRPr="008E2B41" w:rsidRDefault="008E2B41" w:rsidP="008E2B41">
      <w:pPr>
        <w:widowControl w:val="0"/>
        <w:tabs>
          <w:tab w:val="right" w:pos="1008"/>
          <w:tab w:val="left" w:pos="1152"/>
          <w:tab w:val="left" w:pos="1872"/>
          <w:tab w:val="left" w:pos="9187"/>
        </w:tabs>
        <w:ind w:left="2088" w:hanging="2088"/>
        <w:rPr>
          <w:rFonts w:cs="Times New Roman"/>
        </w:rPr>
      </w:pPr>
    </w:p>
    <w:p w:rsidR="008E2B41" w:rsidRPr="008E2B41" w:rsidRDefault="008E2B41" w:rsidP="008E2B41">
      <w:pPr>
        <w:widowControl w:val="0"/>
        <w:tabs>
          <w:tab w:val="right" w:pos="1008"/>
          <w:tab w:val="left" w:pos="1152"/>
          <w:tab w:val="left" w:pos="1872"/>
          <w:tab w:val="left" w:pos="9187"/>
        </w:tabs>
        <w:ind w:left="2088" w:hanging="2088"/>
        <w:rPr>
          <w:rFonts w:cs="Times New Roman"/>
        </w:rPr>
      </w:pP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E2B41">
        <w:rPr>
          <w:rFonts w:cs="Times New Roman"/>
          <w:b/>
        </w:rPr>
        <w:t>VERSIONS OF THIS BILL</w:t>
      </w:r>
    </w:p>
    <w:p w:rsidR="008E2B41" w:rsidRPr="008E2B41" w:rsidRDefault="008E2B41"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2B41" w:rsidRPr="008E2B41" w:rsidRDefault="00501D79" w:rsidP="008E2B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8E2B41" w:rsidRPr="008E2B41">
          <w:rPr>
            <w:rFonts w:cs="Times New Roman"/>
            <w:color w:val="0000FF" w:themeColor="hyperlink"/>
            <w:u w:val="single"/>
          </w:rPr>
          <w:t>1/29/2019</w:t>
        </w:r>
      </w:hyperlink>
    </w:p>
    <w:p w:rsidR="008E2B41" w:rsidRPr="008E2B41" w:rsidRDefault="00501D79" w:rsidP="008E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8E2B41" w:rsidRPr="008E2B41">
          <w:rPr>
            <w:rFonts w:cs="Times New Roman"/>
            <w:color w:val="0000FF" w:themeColor="hyperlink"/>
            <w:u w:val="single"/>
          </w:rPr>
          <w:t>2/14/2019</w:t>
        </w:r>
      </w:hyperlink>
    </w:p>
    <w:p w:rsidR="008E2B41" w:rsidRPr="008E2B41" w:rsidRDefault="00501D79" w:rsidP="008E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8E2B41" w:rsidRPr="008E2B41">
          <w:rPr>
            <w:rFonts w:cs="Times New Roman"/>
            <w:color w:val="0000FF" w:themeColor="hyperlink"/>
            <w:u w:val="single"/>
          </w:rPr>
          <w:t>3/5/2019</w:t>
        </w:r>
      </w:hyperlink>
    </w:p>
    <w:p w:rsidR="008E2B41" w:rsidRPr="008E2B41" w:rsidRDefault="00501D79" w:rsidP="008E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8E2B41" w:rsidRPr="008E2B41">
          <w:rPr>
            <w:rFonts w:cs="Times New Roman"/>
            <w:color w:val="0000FF" w:themeColor="hyperlink"/>
            <w:u w:val="single"/>
          </w:rPr>
          <w:t>4/30/2019</w:t>
        </w:r>
      </w:hyperlink>
    </w:p>
    <w:p w:rsidR="008E2B41" w:rsidRPr="008E2B41" w:rsidRDefault="00501D79" w:rsidP="008E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8E2B41" w:rsidRPr="008E2B41">
          <w:rPr>
            <w:rFonts w:cs="Times New Roman"/>
            <w:color w:val="0000FF" w:themeColor="hyperlink"/>
            <w:u w:val="single"/>
          </w:rPr>
          <w:t>5/1/2019</w:t>
        </w:r>
      </w:hyperlink>
    </w:p>
    <w:p w:rsidR="008E2B41" w:rsidRPr="008E2B41" w:rsidRDefault="00501D79" w:rsidP="008E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8E2B41" w:rsidRPr="008E2B41">
          <w:rPr>
            <w:rFonts w:cs="Times New Roman"/>
            <w:color w:val="0000FF" w:themeColor="hyperlink"/>
            <w:u w:val="single"/>
          </w:rPr>
          <w:t>5/8/2019</w:t>
        </w:r>
      </w:hyperlink>
    </w:p>
    <w:p w:rsidR="008E2B41" w:rsidRPr="008E2B41" w:rsidRDefault="00501D79" w:rsidP="008E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8E2B41" w:rsidRPr="008E2B41">
          <w:rPr>
            <w:rFonts w:cs="Times New Roman"/>
            <w:color w:val="0000FF" w:themeColor="hyperlink"/>
            <w:u w:val="single"/>
          </w:rPr>
          <w:t>5/12/2020</w:t>
        </w:r>
      </w:hyperlink>
    </w:p>
    <w:p w:rsidR="008E2B41" w:rsidRPr="008E2B41" w:rsidRDefault="008E2B41" w:rsidP="008E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E2B41" w:rsidRDefault="008E2B41" w:rsidP="008E2B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E2B41" w:rsidSect="008E2B41">
          <w:pgSz w:w="12240" w:h="15840" w:code="1"/>
          <w:pgMar w:top="1080" w:right="1440" w:bottom="1080" w:left="1440" w:header="720" w:footer="720" w:gutter="0"/>
          <w:pgNumType w:start="1"/>
          <w:cols w:space="720"/>
          <w:noEndnote/>
          <w:docGrid w:linePitch="360"/>
        </w:sectPr>
      </w:pPr>
    </w:p>
    <w:p w:rsidR="00A221AC"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(A139, R144, S455)</w:t>
      </w:r>
    </w:p>
    <w:p w:rsidR="00A221AC" w:rsidRPr="008836A5"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221AC" w:rsidRPr="008E2B41"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E2B41">
        <w:rPr>
          <w:rFonts w:cs="Times New Roman"/>
          <w:b/>
          <w:color w:val="000000" w:themeColor="text1"/>
          <w:szCs w:val="36"/>
        </w:rPr>
        <w:t xml:space="preserve">AN ACT </w:t>
      </w:r>
      <w:r w:rsidRPr="008E2B41">
        <w:rPr>
          <w:rFonts w:cs="Times New Roman"/>
          <w:b/>
          <w:color w:val="000000" w:themeColor="text1"/>
          <w:u w:color="000000" w:themeColor="text1"/>
        </w:rPr>
        <w:t>TO AMEND THE CODE OF LAWS OF SOUTH CAROLINA, 1976, SO AS TO ENACT THE “ARMED SERVICES MEMBERS AND SPOUSES PROFESSIONAL AND OCCUPATIONAL LICENSING ACT” BY ADDING SECTION 27</w:t>
      </w:r>
      <w:r w:rsidRPr="008E2B41">
        <w:rPr>
          <w:rFonts w:cs="Times New Roman"/>
          <w:b/>
          <w:color w:val="000000" w:themeColor="text1"/>
          <w:u w:color="000000" w:themeColor="text1"/>
        </w:rPr>
        <w:noBreakHyphen/>
        <w:t>1</w:t>
      </w:r>
      <w:r w:rsidRPr="008E2B41">
        <w:rPr>
          <w:rFonts w:cs="Times New Roman"/>
          <w:b/>
          <w:color w:val="000000" w:themeColor="text1"/>
          <w:u w:color="000000" w:themeColor="text1"/>
        </w:rPr>
        <w:noBreakHyphen/>
        <w:t>170 SO AS TO PROVIDE CONDITIONS UNDER WHICH ACTIVE DUTY UNITED STATES ARMED FORCES MEMBERS’ SPOUSES WHO ARE CREDENTIALED IN PROFESSIONS OR OCCUPATIONS IN OTHER JURISDICTIONS AND SUBSEQUENTLY RELOCATE TO THIS STATE UNDER OFFICIAL MILITARY ORDERS MAY CONTINUE TO WORK IN SUCH PROFESSIONS OR OCCUPATIONS IN THIS STATE, AND TO PROVIDE RELATED REQUIREMENTS AND PROCEDURES FOR IMPLEMENTING THESE PROVISIONS, AMONG OTHER THINGS; TO AMEND SECTION 40</w:t>
      </w:r>
      <w:r w:rsidRPr="008E2B41">
        <w:rPr>
          <w:rFonts w:cs="Times New Roman"/>
          <w:b/>
          <w:color w:val="000000" w:themeColor="text1"/>
          <w:u w:color="000000" w:themeColor="text1"/>
        </w:rPr>
        <w:noBreakHyphen/>
        <w:t>1</w:t>
      </w:r>
      <w:r w:rsidRPr="008E2B41">
        <w:rPr>
          <w:rFonts w:cs="Times New Roman"/>
          <w:b/>
          <w:color w:val="000000" w:themeColor="text1"/>
          <w:u w:color="000000" w:themeColor="text1"/>
        </w:rPr>
        <w:noBreakHyphen/>
        <w:t>630, RELATING TO THE ISSUANCE OF TEMPORARY PROFESSIONAL AND OCCUPATIONAL LICENSES BY STATE REGULATORY BOARDS, SO AS TO MAKE THE ISSUANCE OF SUCH TEMPORARY LICENSES MANDATORY IN CERTAIN CIRCUMSTANCES; TO AMEND SECTION 40</w:t>
      </w:r>
      <w:r w:rsidRPr="008E2B41">
        <w:rPr>
          <w:rFonts w:cs="Times New Roman"/>
          <w:b/>
          <w:color w:val="000000" w:themeColor="text1"/>
          <w:u w:color="000000" w:themeColor="text1"/>
        </w:rPr>
        <w:noBreakHyphen/>
        <w:t>1</w:t>
      </w:r>
      <w:r w:rsidRPr="008E2B41">
        <w:rPr>
          <w:rFonts w:cs="Times New Roman"/>
          <w:b/>
          <w:color w:val="000000" w:themeColor="text1"/>
          <w:u w:color="000000" w:themeColor="text1"/>
        </w:rPr>
        <w:noBreakHyphen/>
        <w:t>640, RELATING TO THE DISCRETIONARY ACCEPTANCE OF MILITARY EDUCATION, TRAINING, AND EXPERIENCE TO SATISFY PROFESSIONAL AND OCCUPATIONAL LICENSURE REQUIREMENTS OF CERTAIN STATE REGULATORY BOARDS, SO AS TO MANDATE THE ACCEPTANCE OF SUCH EDUCATION, TRAINING, AND EXPERIENCE IN CERTAIN CIRCUMSTANCES; AND TO AMEND SECTION 40</w:t>
      </w:r>
      <w:r w:rsidRPr="008E2B41">
        <w:rPr>
          <w:rFonts w:cs="Times New Roman"/>
          <w:b/>
          <w:color w:val="000000" w:themeColor="text1"/>
          <w:u w:color="000000" w:themeColor="text1"/>
        </w:rPr>
        <w:noBreakHyphen/>
        <w:t>33</w:t>
      </w:r>
      <w:r w:rsidRPr="008E2B41">
        <w:rPr>
          <w:rFonts w:cs="Times New Roman"/>
          <w:b/>
          <w:color w:val="000000" w:themeColor="text1"/>
          <w:u w:color="000000" w:themeColor="text1"/>
        </w:rPr>
        <w:noBreakHyphen/>
        <w:t>20, AS AMENDED, AND SECTION 40</w:t>
      </w:r>
      <w:r w:rsidRPr="008E2B41">
        <w:rPr>
          <w:rFonts w:cs="Times New Roman"/>
          <w:b/>
          <w:color w:val="000000" w:themeColor="text1"/>
          <w:u w:color="000000" w:themeColor="text1"/>
        </w:rPr>
        <w:noBreakHyphen/>
        <w:t>33</w:t>
      </w:r>
      <w:r w:rsidRPr="008E2B41">
        <w:rPr>
          <w:rFonts w:cs="Times New Roman"/>
          <w:b/>
          <w:color w:val="000000" w:themeColor="text1"/>
          <w:u w:color="000000" w:themeColor="text1"/>
        </w:rPr>
        <w:noBreakHyphen/>
        <w:t>34, AS AMENDED, BOTH RELATING TO CERTIFICATION REQUIREMENTS FOR CERTIFIED REGISTERED NURSE ANESTHETISTS, SO AS TO REVISE ACADEMIC REQUIREMENTS FOR SUCH CERTIFICATION.</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05284">
        <w:rPr>
          <w:rFonts w:eastAsia="Times New Roman" w:cs="Times New Roman"/>
        </w:rPr>
        <w:t>Be it enacted by the General Assembly of the State of South Carolina:</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221AC" w:rsidRPr="00B27569"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Citation</w:t>
      </w:r>
    </w:p>
    <w:p w:rsidR="00A221AC"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605284">
        <w:rPr>
          <w:rFonts w:eastAsia="Calibri" w:cs="Times New Roman"/>
          <w:u w:color="000000"/>
        </w:rPr>
        <w:t>SECTION</w:t>
      </w:r>
      <w:r w:rsidRPr="00605284">
        <w:rPr>
          <w:rFonts w:eastAsia="Calibri" w:cs="Times New Roman"/>
          <w:u w:color="000000"/>
        </w:rPr>
        <w:tab/>
        <w:t>1.</w:t>
      </w:r>
      <w:r w:rsidRPr="00605284">
        <w:rPr>
          <w:rFonts w:eastAsia="Calibri" w:cs="Times New Roman"/>
          <w:u w:color="000000"/>
        </w:rPr>
        <w:tab/>
        <w:t>This act must be known and may be cited as the “Armed Services Members and Spouses Professional and Occupational Licensing Act”.</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A221AC" w:rsidRPr="00B27569"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Licenses and certificates for spouses licensed in the other jurisdictions</w:t>
      </w:r>
    </w:p>
    <w:p w:rsidR="00A221AC"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605284">
        <w:rPr>
          <w:rFonts w:eastAsia="Calibri" w:cs="Times New Roman"/>
          <w:u w:color="000000"/>
        </w:rPr>
        <w:t>SECTION</w:t>
      </w:r>
      <w:r w:rsidRPr="00605284">
        <w:rPr>
          <w:rFonts w:eastAsia="Calibri" w:cs="Times New Roman"/>
          <w:u w:color="000000"/>
        </w:rPr>
        <w:tab/>
        <w:t>2.</w:t>
      </w:r>
      <w:r w:rsidRPr="00605284">
        <w:rPr>
          <w:rFonts w:eastAsia="Calibri" w:cs="Times New Roman"/>
          <w:u w:color="000000"/>
        </w:rPr>
        <w:tab/>
        <w:t>Article 1, Chapter 1, Title 2</w:t>
      </w:r>
      <w:r>
        <w:rPr>
          <w:rFonts w:eastAsia="Calibri" w:cs="Times New Roman"/>
          <w:u w:color="000000"/>
        </w:rPr>
        <w:t>5</w:t>
      </w:r>
      <w:r w:rsidRPr="00605284">
        <w:rPr>
          <w:rFonts w:eastAsia="Calibri" w:cs="Times New Roman"/>
          <w:u w:color="000000"/>
        </w:rPr>
        <w:t xml:space="preserve"> of the 1976 Code is amended by adding:</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“Section 2</w:t>
      </w:r>
      <w:r>
        <w:rPr>
          <w:rFonts w:eastAsia="Times New Roman" w:cs="Times New Roman"/>
          <w:szCs w:val="20"/>
        </w:rPr>
        <w:t>5</w:t>
      </w:r>
      <w:r w:rsidRPr="00605284">
        <w:rPr>
          <w:rFonts w:eastAsia="Times New Roman" w:cs="Times New Roman"/>
          <w:szCs w:val="20"/>
        </w:rPr>
        <w:noBreakHyphen/>
        <w:t>1</w:t>
      </w:r>
      <w:r w:rsidRPr="00605284">
        <w:rPr>
          <w:rFonts w:eastAsia="Times New Roman" w:cs="Times New Roman"/>
          <w:szCs w:val="20"/>
        </w:rPr>
        <w:noBreakHyphen/>
        <w:t>170.</w:t>
      </w:r>
      <w:r w:rsidRPr="00605284">
        <w:rPr>
          <w:rFonts w:eastAsia="Times New Roman" w:cs="Times New Roman"/>
          <w:szCs w:val="20"/>
        </w:rPr>
        <w:tab/>
        <w:t>(A)</w:t>
      </w:r>
      <w:r w:rsidRPr="00605284">
        <w:rPr>
          <w:rFonts w:eastAsia="Times New Roman" w:cs="Times New Roman"/>
          <w:szCs w:val="20"/>
        </w:rPr>
        <w:tab/>
        <w:t>Except as provided in subsection (G), and notwithstanding other provisions of law, this section applies to a board, agency, commission, or other entity providing professional licenses or certificates, or both, for the purpose of employment in the State of South Carolina. A board, commission, or agency providing professional licenses or certificates, or both, may promulgate rules in conformity with this section for the purpose of implementing its requirements.</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(B)</w:t>
      </w:r>
      <w:r w:rsidRPr="00605284">
        <w:rPr>
          <w:rFonts w:eastAsia="Times New Roman" w:cs="Times New Roman"/>
          <w:szCs w:val="20"/>
        </w:rPr>
        <w:tab/>
        <w:t>Except as provided in subsection (G), and notwithstanding another provision of law, this section applies to individuals who:</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r w:rsidRPr="00605284">
        <w:rPr>
          <w:rFonts w:eastAsia="Times New Roman" w:cs="Times New Roman"/>
          <w:szCs w:val="20"/>
        </w:rPr>
        <w:tab/>
        <w:t>(1)</w:t>
      </w:r>
      <w:r w:rsidRPr="00605284">
        <w:rPr>
          <w:rFonts w:eastAsia="Times New Roman" w:cs="Times New Roman"/>
          <w:szCs w:val="20"/>
        </w:rPr>
        <w:tab/>
        <w:t>are married to and living with an active duty member of the United States Armed Forces who is relocated to and stationed in this State under official military orders;</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r w:rsidRPr="00605284">
        <w:rPr>
          <w:rFonts w:eastAsia="Times New Roman" w:cs="Times New Roman"/>
          <w:szCs w:val="20"/>
        </w:rPr>
        <w:tab/>
        <w:t>(2)</w:t>
      </w:r>
      <w:r w:rsidRPr="00605284">
        <w:rPr>
          <w:rFonts w:eastAsia="Times New Roman" w:cs="Times New Roman"/>
          <w:szCs w:val="20"/>
        </w:rPr>
        <w:tab/>
        <w:t>have not committed or participated in an act that would constitute grounds for refusal, suspension, or revocation of a professional license or certificate;</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r w:rsidRPr="00605284">
        <w:rPr>
          <w:rFonts w:eastAsia="Times New Roman" w:cs="Times New Roman"/>
          <w:szCs w:val="20"/>
        </w:rPr>
        <w:tab/>
        <w:t>(3)</w:t>
      </w:r>
      <w:r w:rsidRPr="00605284">
        <w:rPr>
          <w:rFonts w:eastAsia="Times New Roman" w:cs="Times New Roman"/>
          <w:szCs w:val="20"/>
        </w:rPr>
        <w:tab/>
        <w:t>have not been disciplined by an authorized entity or are under investigation, in any jurisdiction, in relation to a professional license or certificate; and</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r w:rsidRPr="00605284">
        <w:rPr>
          <w:rFonts w:eastAsia="Times New Roman" w:cs="Times New Roman"/>
          <w:szCs w:val="20"/>
        </w:rPr>
        <w:tab/>
        <w:t>(4)</w:t>
      </w:r>
      <w:r w:rsidRPr="00605284">
        <w:rPr>
          <w:rFonts w:eastAsia="Times New Roman" w:cs="Times New Roman"/>
          <w:szCs w:val="20"/>
        </w:rPr>
        <w:tab/>
        <w:t>pay any required fee and submit to any required criminal or other background check by an authorized board, commission, or agency in this State.</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(C)</w:t>
      </w:r>
      <w:r w:rsidRPr="00605284">
        <w:rPr>
          <w:rFonts w:eastAsia="Times New Roman" w:cs="Times New Roman"/>
          <w:szCs w:val="20"/>
        </w:rPr>
        <w:tab/>
        <w:t>An eligible individual under subsection (B) who possesses a valid professional or occupational license or certificate in another state, district, or territory of the United States with licensing or certification requirements greater than or substantially similar to the licensing or certification requirements of the appropriate board, commission, or agency in this State must be approved to continue work in that profession or occupation upon relocation to this State for such time as normally allotted with receipt of a license or certificate from the appropriate board, commission, or agency.</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(D)</w:t>
      </w:r>
      <w:r w:rsidRPr="00605284">
        <w:rPr>
          <w:rFonts w:eastAsia="Times New Roman" w:cs="Times New Roman"/>
          <w:szCs w:val="20"/>
        </w:rPr>
        <w:tab/>
        <w:t>Upon completion of an application that documents compliance with the receiving agency’s requirements for a certificate or license, an authorized board, commission, or agency shall process the application and issue a license within fifteen business days after receipt of the application.</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(E)</w:t>
      </w:r>
      <w:r w:rsidRPr="00605284">
        <w:rPr>
          <w:rFonts w:eastAsia="Times New Roman" w:cs="Times New Roman"/>
          <w:szCs w:val="20"/>
        </w:rPr>
        <w:tab/>
        <w:t>In addition to general personal information about the applicant, and other documentation satisfying the receiving agency’s requirements for a certificate or license, the application must include proof that he:</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r w:rsidRPr="00605284">
        <w:rPr>
          <w:rFonts w:eastAsia="Times New Roman" w:cs="Times New Roman"/>
          <w:szCs w:val="20"/>
        </w:rPr>
        <w:tab/>
        <w:t>(1)</w:t>
      </w:r>
      <w:r w:rsidRPr="00605284">
        <w:rPr>
          <w:rFonts w:eastAsia="Times New Roman" w:cs="Times New Roman"/>
          <w:szCs w:val="20"/>
        </w:rPr>
        <w:tab/>
        <w:t>is married to and living with an active duty member of the United States Armed Forces who is relocated to and stationed in this State under official military orders;</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r w:rsidRPr="00605284">
        <w:rPr>
          <w:rFonts w:eastAsia="Times New Roman" w:cs="Times New Roman"/>
          <w:szCs w:val="20"/>
        </w:rPr>
        <w:tab/>
        <w:t>(2)</w:t>
      </w:r>
      <w:r w:rsidRPr="00605284">
        <w:rPr>
          <w:rFonts w:eastAsia="Times New Roman" w:cs="Times New Roman"/>
          <w:szCs w:val="20"/>
        </w:rPr>
        <w:tab/>
        <w:t>possesses a valid license or certificate in another state, district, or territory of the United States; and</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r w:rsidRPr="00605284">
        <w:rPr>
          <w:rFonts w:eastAsia="Times New Roman" w:cs="Times New Roman"/>
          <w:szCs w:val="20"/>
        </w:rPr>
        <w:tab/>
        <w:t>(3)</w:t>
      </w:r>
      <w:r w:rsidRPr="00605284">
        <w:rPr>
          <w:rFonts w:eastAsia="Times New Roman" w:cs="Times New Roman"/>
          <w:szCs w:val="20"/>
        </w:rPr>
        <w:tab/>
        <w:t>holds the license in subsection (B) in ‘good standing’ as evidenced by a certificate of good standing from the state, district, or territory of the United States that issued the license.</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(F)</w:t>
      </w:r>
      <w:r w:rsidRPr="00605284">
        <w:rPr>
          <w:rFonts w:eastAsia="Times New Roman" w:cs="Times New Roman"/>
          <w:szCs w:val="20"/>
        </w:rPr>
        <w:tab/>
        <w:t>A board, commission, or agency in this State may establish reciprocity with other states for military spouse professional licensing and certification.</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(G)</w:t>
      </w:r>
      <w:r w:rsidRPr="00605284">
        <w:rPr>
          <w:rFonts w:eastAsia="Times New Roman" w:cs="Times New Roman"/>
          <w:szCs w:val="20"/>
        </w:rPr>
        <w:tab/>
        <w:t>This section does not apply to:</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r w:rsidRPr="00605284">
        <w:rPr>
          <w:rFonts w:eastAsia="Times New Roman" w:cs="Times New Roman"/>
          <w:szCs w:val="20"/>
        </w:rPr>
        <w:tab/>
        <w:t>(1)</w:t>
      </w:r>
      <w:r w:rsidRPr="00605284">
        <w:rPr>
          <w:rFonts w:eastAsia="Times New Roman" w:cs="Times New Roman"/>
          <w:szCs w:val="20"/>
        </w:rPr>
        <w:tab/>
        <w:t>the practice of law or the regulation of attorneys; and</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r w:rsidRPr="00605284">
        <w:rPr>
          <w:rFonts w:eastAsia="Times New Roman" w:cs="Times New Roman"/>
          <w:szCs w:val="20"/>
        </w:rPr>
        <w:tab/>
        <w:t>(2)</w:t>
      </w:r>
      <w:r w:rsidRPr="00605284">
        <w:rPr>
          <w:rFonts w:eastAsia="Times New Roman" w:cs="Times New Roman"/>
          <w:szCs w:val="20"/>
        </w:rPr>
        <w:tab/>
        <w:t>educators.</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(H)</w:t>
      </w:r>
      <w:r w:rsidRPr="00605284">
        <w:rPr>
          <w:rFonts w:eastAsia="Times New Roman" w:cs="Times New Roman"/>
          <w:szCs w:val="20"/>
        </w:rPr>
        <w:tab/>
        <w:t>A license or certificate issued pursuant to this section is valid for the same period of time as a license or certificate issued pursuant to the requirements of the applicable title for the particular profession or occupation.</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(I)</w:t>
      </w:r>
      <w:r w:rsidRPr="00605284">
        <w:rPr>
          <w:rFonts w:eastAsia="Times New Roman" w:cs="Times New Roman"/>
          <w:szCs w:val="20"/>
        </w:rPr>
        <w:tab/>
        <w:t>Nothing in this section prevents a board, commission, or agency from revoking, penalizing, or suspending a license pursuant to the appropriate code sections regulating the particular profession.”</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p>
    <w:p w:rsidR="00A221AC" w:rsidRPr="00B27569"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 xml:space="preserve">Temporary professional licenses </w:t>
      </w:r>
    </w:p>
    <w:p w:rsidR="00A221AC"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SECTION</w:t>
      </w:r>
      <w:r w:rsidRPr="00605284">
        <w:rPr>
          <w:rFonts w:eastAsia="Times New Roman" w:cs="Times New Roman"/>
          <w:szCs w:val="20"/>
        </w:rPr>
        <w:tab/>
        <w:t>3.</w:t>
      </w:r>
      <w:r w:rsidRPr="00605284">
        <w:rPr>
          <w:rFonts w:eastAsia="Times New Roman" w:cs="Times New Roman"/>
          <w:szCs w:val="20"/>
        </w:rPr>
        <w:tab/>
        <w:t>Section 40</w:t>
      </w:r>
      <w:r w:rsidRPr="00605284">
        <w:rPr>
          <w:rFonts w:eastAsia="Times New Roman" w:cs="Times New Roman"/>
          <w:szCs w:val="20"/>
        </w:rPr>
        <w:noBreakHyphen/>
        <w:t>1</w:t>
      </w:r>
      <w:r w:rsidRPr="00605284">
        <w:rPr>
          <w:rFonts w:eastAsia="Times New Roman" w:cs="Times New Roman"/>
          <w:szCs w:val="20"/>
        </w:rPr>
        <w:noBreakHyphen/>
        <w:t>630(A) of the 1976 Code is amended to read:</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“(A)</w:t>
      </w:r>
      <w:r w:rsidRPr="00605284">
        <w:rPr>
          <w:rFonts w:eastAsia="Times New Roman" w:cs="Times New Roman"/>
          <w:szCs w:val="20"/>
        </w:rPr>
        <w:tab/>
        <w:t>A board or commission that regulates the licensure of a profession or occupation under Title 40 shall issue a temporary professional license for a profession or occupation it regulates to the spouse of an active duty member of the United States Armed Forces if the member is assigned to a duty station in this State pursuant to the official active duty military orders of the member. Nothing in this section should be construed as requiring a board or commission to grant licensure to the spouse of an active duty member of the United States Armed Forces absent evidence that all state law requirements for licensure have been met.”</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p>
    <w:p w:rsidR="00A221AC" w:rsidRPr="00B27569" w:rsidRDefault="00A221AC" w:rsidP="00A221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Military education, experience, and training</w:t>
      </w:r>
    </w:p>
    <w:p w:rsidR="00A221AC" w:rsidRDefault="00A221AC" w:rsidP="00A221A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SECTION</w:t>
      </w:r>
      <w:r w:rsidRPr="00605284">
        <w:rPr>
          <w:rFonts w:eastAsia="Times New Roman" w:cs="Times New Roman"/>
          <w:szCs w:val="20"/>
        </w:rPr>
        <w:tab/>
        <w:t>4.</w:t>
      </w:r>
      <w:r w:rsidRPr="00605284">
        <w:rPr>
          <w:rFonts w:eastAsia="Times New Roman" w:cs="Times New Roman"/>
          <w:szCs w:val="20"/>
        </w:rPr>
        <w:tab/>
        <w:t>Section 40</w:t>
      </w:r>
      <w:r w:rsidRPr="00605284">
        <w:rPr>
          <w:rFonts w:eastAsia="Times New Roman" w:cs="Times New Roman"/>
          <w:szCs w:val="20"/>
        </w:rPr>
        <w:noBreakHyphen/>
        <w:t>1</w:t>
      </w:r>
      <w:r w:rsidRPr="00605284">
        <w:rPr>
          <w:rFonts w:eastAsia="Times New Roman" w:cs="Times New Roman"/>
          <w:szCs w:val="20"/>
        </w:rPr>
        <w:noBreakHyphen/>
        <w:t>640(A) of the 1976 Code is amended to read:</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605284">
        <w:rPr>
          <w:rFonts w:eastAsia="Times New Roman" w:cs="Times New Roman"/>
          <w:szCs w:val="20"/>
        </w:rPr>
        <w:tab/>
        <w:t>“(A)</w:t>
      </w:r>
      <w:r w:rsidRPr="00605284">
        <w:rPr>
          <w:rFonts w:eastAsia="Times New Roman" w:cs="Times New Roman"/>
          <w:szCs w:val="20"/>
        </w:rPr>
        <w:tab/>
        <w:t xml:space="preserve">A professional or occupational board or commission governed by this title shall accept the education, training, and experience completed by an individual as a member of the Armed Forces or Reserves of the United States, National Guard of any state, the Military Reserves of any state, or the Naval Militias of any state and apply this education, training, and experience in the manner most favorable toward satisfying the qualifications for issuance of the requested license or certification or approval for license </w:t>
      </w:r>
      <w:r w:rsidRPr="00605284">
        <w:rPr>
          <w:rFonts w:eastAsia="Calibri" w:cs="Times New Roman"/>
          <w:u w:color="000000"/>
        </w:rPr>
        <w:t>examination in this State, subject to the receipt of evidence considered satisfactory by the board or commission.”</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605284">
        <w:rPr>
          <w:rFonts w:eastAsia="Calibri" w:cs="Times New Roman"/>
          <w:u w:color="000000"/>
        </w:rPr>
        <w:tab/>
      </w:r>
    </w:p>
    <w:p w:rsidR="00A221AC" w:rsidRPr="00B27569"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 xml:space="preserve">CRNA academic requirements </w:t>
      </w:r>
    </w:p>
    <w:p w:rsidR="00A221AC"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605284">
        <w:rPr>
          <w:rFonts w:eastAsia="Calibri" w:cs="Times New Roman"/>
          <w:u w:color="000000"/>
        </w:rPr>
        <w:t>SECTION</w:t>
      </w:r>
      <w:r w:rsidRPr="00605284">
        <w:rPr>
          <w:rFonts w:eastAsia="Calibri" w:cs="Times New Roman"/>
          <w:u w:color="000000"/>
        </w:rPr>
        <w:tab/>
      </w:r>
      <w:r w:rsidRPr="00605284">
        <w:rPr>
          <w:rFonts w:eastAsia="Times New Roman" w:cs="Times New Roman"/>
          <w:szCs w:val="20"/>
        </w:rPr>
        <w:t>5.</w:t>
      </w:r>
      <w:r w:rsidRPr="00605284">
        <w:rPr>
          <w:rFonts w:eastAsia="Times New Roman" w:cs="Times New Roman"/>
          <w:szCs w:val="20"/>
        </w:rPr>
        <w:tab/>
        <w:t>Section 40</w:t>
      </w:r>
      <w:r w:rsidRPr="00605284">
        <w:rPr>
          <w:rFonts w:eastAsia="Times New Roman" w:cs="Times New Roman"/>
          <w:szCs w:val="20"/>
        </w:rPr>
        <w:noBreakHyphen/>
        <w:t>33</w:t>
      </w:r>
      <w:r w:rsidRPr="00605284">
        <w:rPr>
          <w:rFonts w:eastAsia="Times New Roman" w:cs="Times New Roman"/>
          <w:szCs w:val="20"/>
        </w:rPr>
        <w:noBreakHyphen/>
        <w:t>20(19)(a) of the 1976 Code</w:t>
      </w:r>
      <w:r>
        <w:rPr>
          <w:rFonts w:eastAsia="Times New Roman" w:cs="Times New Roman"/>
          <w:szCs w:val="20"/>
        </w:rPr>
        <w:t>, as amended by Act 234 of 2018,</w:t>
      </w:r>
      <w:r w:rsidRPr="00605284">
        <w:rPr>
          <w:rFonts w:eastAsia="Times New Roman" w:cs="Times New Roman"/>
          <w:szCs w:val="20"/>
        </w:rPr>
        <w:t xml:space="preserve"> is</w:t>
      </w:r>
      <w:r>
        <w:rPr>
          <w:rFonts w:eastAsia="Times New Roman" w:cs="Times New Roman"/>
          <w:szCs w:val="20"/>
        </w:rPr>
        <w:t xml:space="preserve"> further</w:t>
      </w:r>
      <w:r w:rsidRPr="00605284">
        <w:rPr>
          <w:rFonts w:eastAsia="Times New Roman" w:cs="Times New Roman"/>
          <w:szCs w:val="20"/>
        </w:rPr>
        <w:t xml:space="preserve"> amended to read:</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“(a)</w:t>
      </w:r>
      <w:r w:rsidRPr="00605284">
        <w:rPr>
          <w:rFonts w:eastAsia="Times New Roman" w:cs="Times New Roman"/>
          <w:szCs w:val="20"/>
        </w:rPr>
        <w:tab/>
        <w:t>has successfully completed an advanced, organized formal CRNA education program at a minimum of the master’s level accredited by the national accrediting organization of this specialty area and that is recognized by the board;”</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p>
    <w:p w:rsidR="00A221AC" w:rsidRPr="00B27569"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CRNA academic requirements</w:t>
      </w:r>
    </w:p>
    <w:p w:rsidR="00A221AC"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SECTION</w:t>
      </w:r>
      <w:r w:rsidRPr="00605284">
        <w:rPr>
          <w:rFonts w:eastAsia="Times New Roman" w:cs="Times New Roman"/>
          <w:szCs w:val="20"/>
        </w:rPr>
        <w:tab/>
        <w:t>6.</w:t>
      </w:r>
      <w:r w:rsidRPr="00605284">
        <w:rPr>
          <w:rFonts w:eastAsia="Times New Roman" w:cs="Times New Roman"/>
          <w:szCs w:val="20"/>
        </w:rPr>
        <w:tab/>
        <w:t>Section 40</w:t>
      </w:r>
      <w:r w:rsidRPr="00605284">
        <w:rPr>
          <w:rFonts w:eastAsia="Times New Roman" w:cs="Times New Roman"/>
          <w:szCs w:val="20"/>
        </w:rPr>
        <w:noBreakHyphen/>
        <w:t>33</w:t>
      </w:r>
      <w:r w:rsidRPr="00605284">
        <w:rPr>
          <w:rFonts w:eastAsia="Times New Roman" w:cs="Times New Roman"/>
          <w:szCs w:val="20"/>
        </w:rPr>
        <w:noBreakHyphen/>
        <w:t>34(A)(3)(b) of the 1976 Code is amended to read:</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ab/>
        <w:t>“(b)</w:t>
      </w:r>
      <w:r w:rsidRPr="00605284">
        <w:rPr>
          <w:rFonts w:eastAsia="Times New Roman" w:cs="Times New Roman"/>
          <w:szCs w:val="20"/>
        </w:rPr>
        <w:tab/>
        <w:t>graduated before December 31, 2003, from an advanced, organized formal education program for nurse anesthetists accredited by the national accrediting organization of that specialty. CRNAs who graduate after December 31, 2003, must graduate with a minimum of a master’s degree from a formal CRNA education program for nurse anesthetists accredited by the national accreditation organization of the CRNA specialty. An advanced practice registered nurse must achieve and maintain national certification, as recognized by the board, in an advanced practice registered nursing specialty;”</w:t>
      </w:r>
    </w:p>
    <w:p w:rsidR="00A221AC" w:rsidRPr="00605284"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221AC" w:rsidRPr="00B27569"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sidRPr="00B27569">
        <w:rPr>
          <w:rFonts w:eastAsia="Times New Roman" w:cs="Times New Roman"/>
          <w:b/>
          <w:szCs w:val="20"/>
        </w:rPr>
        <w:t>Time effective</w:t>
      </w:r>
    </w:p>
    <w:p w:rsidR="00A221AC"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221AC"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05284">
        <w:rPr>
          <w:rFonts w:eastAsia="Times New Roman" w:cs="Times New Roman"/>
          <w:szCs w:val="20"/>
        </w:rPr>
        <w:t>SECTION</w:t>
      </w:r>
      <w:r w:rsidRPr="00605284">
        <w:rPr>
          <w:rFonts w:eastAsia="Times New Roman" w:cs="Times New Roman"/>
          <w:szCs w:val="20"/>
        </w:rPr>
        <w:tab/>
        <w:t>7.</w:t>
      </w:r>
      <w:r w:rsidRPr="00605284">
        <w:rPr>
          <w:rFonts w:eastAsia="Times New Roman" w:cs="Times New Roman"/>
          <w:szCs w:val="20"/>
        </w:rPr>
        <w:tab/>
        <w:t>This act takes effect upon approval by the Governor</w:t>
      </w:r>
      <w:r>
        <w:rPr>
          <w:rFonts w:eastAsia="Times New Roman" w:cs="Times New Roman"/>
          <w:szCs w:val="20"/>
        </w:rPr>
        <w:t>.</w:t>
      </w:r>
    </w:p>
    <w:p w:rsidR="00A221AC"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221AC" w:rsidRDefault="00A221AC"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May, 2020.</w:t>
      </w:r>
    </w:p>
    <w:p w:rsidR="00A221AC" w:rsidRDefault="00A221AC" w:rsidP="00A221AC">
      <w:pPr>
        <w:jc w:val="both"/>
        <w:rPr>
          <w:color w:val="000000" w:themeColor="text1"/>
        </w:rPr>
      </w:pPr>
    </w:p>
    <w:p w:rsidR="00A221AC" w:rsidRDefault="00A221AC" w:rsidP="00A221AC">
      <w:pPr>
        <w:jc w:val="both"/>
        <w:rPr>
          <w:color w:val="000000" w:themeColor="text1"/>
        </w:rPr>
      </w:pPr>
      <w:r>
        <w:rPr>
          <w:color w:val="000000" w:themeColor="text1"/>
        </w:rPr>
        <w:t>Approved the 26</w:t>
      </w:r>
      <w:r w:rsidRPr="003C0712">
        <w:rPr>
          <w:color w:val="000000" w:themeColor="text1"/>
          <w:vertAlign w:val="superscript"/>
        </w:rPr>
        <w:t>th</w:t>
      </w:r>
      <w:r>
        <w:rPr>
          <w:color w:val="000000" w:themeColor="text1"/>
        </w:rPr>
        <w:t xml:space="preserve"> day of May, 2020. </w:t>
      </w:r>
    </w:p>
    <w:p w:rsidR="00A221AC" w:rsidRDefault="00A221AC" w:rsidP="00A221AC">
      <w:pPr>
        <w:jc w:val="center"/>
        <w:rPr>
          <w:color w:val="000000" w:themeColor="text1"/>
        </w:rPr>
      </w:pPr>
    </w:p>
    <w:p w:rsidR="00A221AC" w:rsidRDefault="00A221AC" w:rsidP="00A221AC">
      <w:pPr>
        <w:jc w:val="center"/>
        <w:rPr>
          <w:color w:val="000000" w:themeColor="text1"/>
        </w:rPr>
      </w:pPr>
      <w:r>
        <w:rPr>
          <w:color w:val="000000" w:themeColor="text1"/>
        </w:rPr>
        <w:t>__________</w:t>
      </w:r>
    </w:p>
    <w:p w:rsidR="008E2B41" w:rsidRPr="00EF3294" w:rsidRDefault="008E2B41" w:rsidP="00A22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E2B41" w:rsidRPr="00EF3294" w:rsidSect="008E2B41">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569" w:rsidRDefault="00B27569" w:rsidP="007D5FAC">
      <w:r>
        <w:separator/>
      </w:r>
    </w:p>
  </w:endnote>
  <w:endnote w:type="continuationSeparator" w:id="0">
    <w:p w:rsidR="00B27569" w:rsidRDefault="00B2756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B41" w:rsidRPr="008E2B41" w:rsidRDefault="008E2B41" w:rsidP="008E2B4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A3EB5">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B41" w:rsidRDefault="008E2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569" w:rsidRDefault="00B27569" w:rsidP="007D5FAC">
      <w:r>
        <w:separator/>
      </w:r>
    </w:p>
  </w:footnote>
  <w:footnote w:type="continuationSeparator" w:id="0">
    <w:p w:rsidR="00B27569" w:rsidRDefault="00B2756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55"/>
    <w:docVar w:name="ActSecretary" w:val="Morris"/>
    <w:docVar w:name="ActSIdno" w:val="(153)  455WAB20"/>
    <w:docVar w:name="clipname" w:val="455WAB20"/>
    <w:docVar w:name="dvBillNumber" w:val="455"/>
    <w:docVar w:name="dvBillNumberPrefix" w:val="S"/>
    <w:docVar w:name="dvOriginalBody" w:val="Senate"/>
    <w:docVar w:name="OrigSENATEBillNo" w:val="455"/>
    <w:docVar w:name="SENATEACTFULLPATH" w:val="L:\COUNCIL\ACTS\455WAB20.DOCX"/>
    <w:docVar w:name="WhatActtype" w:val="AN ACT"/>
  </w:docVars>
  <w:rsids>
    <w:rsidRoot w:val="005C175A"/>
    <w:rsid w:val="00002DE0"/>
    <w:rsid w:val="00017F29"/>
    <w:rsid w:val="00020349"/>
    <w:rsid w:val="000217FE"/>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0F4902"/>
    <w:rsid w:val="000F50B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3EB5"/>
    <w:rsid w:val="001A646B"/>
    <w:rsid w:val="001A75A0"/>
    <w:rsid w:val="001B5A28"/>
    <w:rsid w:val="001B65B6"/>
    <w:rsid w:val="001B78F9"/>
    <w:rsid w:val="001B7FF5"/>
    <w:rsid w:val="001C390F"/>
    <w:rsid w:val="001C50A7"/>
    <w:rsid w:val="001C6957"/>
    <w:rsid w:val="001D279C"/>
    <w:rsid w:val="001D550F"/>
    <w:rsid w:val="001D5B5B"/>
    <w:rsid w:val="001D691D"/>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6B5D"/>
    <w:rsid w:val="002A7F6D"/>
    <w:rsid w:val="002B128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523"/>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4BE6"/>
    <w:rsid w:val="003B6BB7"/>
    <w:rsid w:val="003B746E"/>
    <w:rsid w:val="003C030C"/>
    <w:rsid w:val="003C5DBD"/>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175A"/>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37B5E"/>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2048"/>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13F9"/>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D4617"/>
    <w:rsid w:val="008E03BA"/>
    <w:rsid w:val="008E1BCF"/>
    <w:rsid w:val="008E2B41"/>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C1713"/>
    <w:rsid w:val="009D0B32"/>
    <w:rsid w:val="009D75E7"/>
    <w:rsid w:val="009E5352"/>
    <w:rsid w:val="009F42DA"/>
    <w:rsid w:val="00A03978"/>
    <w:rsid w:val="00A050C0"/>
    <w:rsid w:val="00A062DB"/>
    <w:rsid w:val="00A14F94"/>
    <w:rsid w:val="00A221AC"/>
    <w:rsid w:val="00A22884"/>
    <w:rsid w:val="00A23CED"/>
    <w:rsid w:val="00A25110"/>
    <w:rsid w:val="00A25E64"/>
    <w:rsid w:val="00A26387"/>
    <w:rsid w:val="00A3022E"/>
    <w:rsid w:val="00A37F24"/>
    <w:rsid w:val="00A423D3"/>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16D7"/>
    <w:rsid w:val="00AF2080"/>
    <w:rsid w:val="00AF3196"/>
    <w:rsid w:val="00AF3FED"/>
    <w:rsid w:val="00AF7929"/>
    <w:rsid w:val="00AF7A83"/>
    <w:rsid w:val="00B010E0"/>
    <w:rsid w:val="00B11270"/>
    <w:rsid w:val="00B12572"/>
    <w:rsid w:val="00B27569"/>
    <w:rsid w:val="00B303AC"/>
    <w:rsid w:val="00B374C4"/>
    <w:rsid w:val="00B408FD"/>
    <w:rsid w:val="00B417DE"/>
    <w:rsid w:val="00B4797F"/>
    <w:rsid w:val="00B516BA"/>
    <w:rsid w:val="00B520A2"/>
    <w:rsid w:val="00B62CAB"/>
    <w:rsid w:val="00B72564"/>
    <w:rsid w:val="00B72ED3"/>
    <w:rsid w:val="00B73571"/>
    <w:rsid w:val="00B74177"/>
    <w:rsid w:val="00B74886"/>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151BC"/>
    <w:rsid w:val="00C216F6"/>
    <w:rsid w:val="00C2227D"/>
    <w:rsid w:val="00C230AF"/>
    <w:rsid w:val="00C23B1A"/>
    <w:rsid w:val="00C30E1C"/>
    <w:rsid w:val="00C32CDA"/>
    <w:rsid w:val="00C33284"/>
    <w:rsid w:val="00C34674"/>
    <w:rsid w:val="00C3483A"/>
    <w:rsid w:val="00C45263"/>
    <w:rsid w:val="00C46AB4"/>
    <w:rsid w:val="00C55195"/>
    <w:rsid w:val="00C7071A"/>
    <w:rsid w:val="00C73A41"/>
    <w:rsid w:val="00C73A60"/>
    <w:rsid w:val="00C74282"/>
    <w:rsid w:val="00C74E9D"/>
    <w:rsid w:val="00C77DD6"/>
    <w:rsid w:val="00C837F6"/>
    <w:rsid w:val="00C866C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5C46"/>
    <w:rsid w:val="00E5665F"/>
    <w:rsid w:val="00E60357"/>
    <w:rsid w:val="00E608DA"/>
    <w:rsid w:val="00E614B9"/>
    <w:rsid w:val="00E61B4C"/>
    <w:rsid w:val="00E71D4E"/>
    <w:rsid w:val="00E757F4"/>
    <w:rsid w:val="00E9303D"/>
    <w:rsid w:val="00EA03FD"/>
    <w:rsid w:val="00EA2A3A"/>
    <w:rsid w:val="00EA77B0"/>
    <w:rsid w:val="00EB223A"/>
    <w:rsid w:val="00EC47CE"/>
    <w:rsid w:val="00EC6AE8"/>
    <w:rsid w:val="00ED4871"/>
    <w:rsid w:val="00ED5EF5"/>
    <w:rsid w:val="00EE42B4"/>
    <w:rsid w:val="00EE663F"/>
    <w:rsid w:val="00EF0E4A"/>
    <w:rsid w:val="00EF3294"/>
    <w:rsid w:val="00EF3301"/>
    <w:rsid w:val="00EF6923"/>
    <w:rsid w:val="00EF7FE8"/>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6C3C136-3075-4C1D-9F93-7C854EC5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E2B4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E535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E2B4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415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14.docx" TargetMode="External"/><Relationship Id="rId13" Type="http://schemas.openxmlformats.org/officeDocument/2006/relationships/hyperlink" Target="file:///h:\hj\20190307.docx" TargetMode="External"/><Relationship Id="rId18" Type="http://schemas.openxmlformats.org/officeDocument/2006/relationships/hyperlink" Target="file:///h:\hj\20190501.docx" TargetMode="External"/><Relationship Id="rId26" Type="http://schemas.openxmlformats.org/officeDocument/2006/relationships/hyperlink" Target="file:///h:\hj\20190509.docx"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sj\20190508.docx" TargetMode="External"/><Relationship Id="rId34" Type="http://schemas.openxmlformats.org/officeDocument/2006/relationships/hyperlink" Target="file:///p:\pprever\2019-20\455_20190305.docx" TargetMode="External"/><Relationship Id="rId42" Type="http://schemas.openxmlformats.org/officeDocument/2006/relationships/theme" Target="theme/theme1.xml"/><Relationship Id="rId7" Type="http://schemas.openxmlformats.org/officeDocument/2006/relationships/hyperlink" Target="file:///h:\sj\20190129.docx" TargetMode="External"/><Relationship Id="rId12" Type="http://schemas.openxmlformats.org/officeDocument/2006/relationships/hyperlink" Target="file:///h:\sj\20190307.docx" TargetMode="External"/><Relationship Id="rId17" Type="http://schemas.openxmlformats.org/officeDocument/2006/relationships/hyperlink" Target="file:///h:\hj\20190501.docx" TargetMode="External"/><Relationship Id="rId25" Type="http://schemas.openxmlformats.org/officeDocument/2006/relationships/hyperlink" Target="file:///h:\hj\20190509.docx" TargetMode="External"/><Relationship Id="rId33" Type="http://schemas.openxmlformats.org/officeDocument/2006/relationships/hyperlink" Target="file:///p:\pprever\2019-20\455_20190214.docx" TargetMode="External"/><Relationship Id="rId38" Type="http://schemas.openxmlformats.org/officeDocument/2006/relationships/hyperlink" Target="file:///p:\pprever\2019-20\455_20200512.docx" TargetMode="External"/><Relationship Id="rId2" Type="http://schemas.openxmlformats.org/officeDocument/2006/relationships/settings" Target="settings.xml"/><Relationship Id="rId16" Type="http://schemas.openxmlformats.org/officeDocument/2006/relationships/hyperlink" Target="file:///h:\hj\20190501.docx" TargetMode="External"/><Relationship Id="rId20" Type="http://schemas.openxmlformats.org/officeDocument/2006/relationships/hyperlink" Target="file:///h:\sj\20190508.docx" TargetMode="External"/><Relationship Id="rId29" Type="http://schemas.openxmlformats.org/officeDocument/2006/relationships/hyperlink" Target="file:///h:\sj\20200227.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90129.docx" TargetMode="External"/><Relationship Id="rId11" Type="http://schemas.openxmlformats.org/officeDocument/2006/relationships/hyperlink" Target="file:///h:\sj\20190305.docx" TargetMode="External"/><Relationship Id="rId24" Type="http://schemas.openxmlformats.org/officeDocument/2006/relationships/hyperlink" Target="file:///h:\sj\20190508.docx" TargetMode="External"/><Relationship Id="rId32" Type="http://schemas.openxmlformats.org/officeDocument/2006/relationships/hyperlink" Target="file:///p:\pprever\2019-20\455_20190129.docx" TargetMode="External"/><Relationship Id="rId37" Type="http://schemas.openxmlformats.org/officeDocument/2006/relationships/hyperlink" Target="file:///p:\pprever\2019-20\455_20190508.docx"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90430.docx" TargetMode="External"/><Relationship Id="rId23" Type="http://schemas.openxmlformats.org/officeDocument/2006/relationships/hyperlink" Target="file:///h:\sj\20190508.docx" TargetMode="External"/><Relationship Id="rId28" Type="http://schemas.openxmlformats.org/officeDocument/2006/relationships/hyperlink" Target="file:///h:\hj\20200128.docx" TargetMode="External"/><Relationship Id="rId36" Type="http://schemas.openxmlformats.org/officeDocument/2006/relationships/hyperlink" Target="file:///p:\pprever\2019-20\455_20190501.docx" TargetMode="External"/><Relationship Id="rId10" Type="http://schemas.openxmlformats.org/officeDocument/2006/relationships/hyperlink" Target="file:///h:\sj\20190305.docx" TargetMode="External"/><Relationship Id="rId19" Type="http://schemas.openxmlformats.org/officeDocument/2006/relationships/hyperlink" Target="file:///h:\hj\20190502.docx" TargetMode="External"/><Relationship Id="rId31" Type="http://schemas.openxmlformats.org/officeDocument/2006/relationships/hyperlink" Target="http://www.scstatehouse.gov/billsearch.php?billnumbers=455&amp;session=123&amp;summary=B" TargetMode="External"/><Relationship Id="rId4" Type="http://schemas.openxmlformats.org/officeDocument/2006/relationships/footnotes" Target="footnotes.xml"/><Relationship Id="rId9" Type="http://schemas.openxmlformats.org/officeDocument/2006/relationships/hyperlink" Target="file:///h:\sj\20190305.docx" TargetMode="External"/><Relationship Id="rId14" Type="http://schemas.openxmlformats.org/officeDocument/2006/relationships/hyperlink" Target="file:///h:\hj\20190307.docx" TargetMode="External"/><Relationship Id="rId22" Type="http://schemas.openxmlformats.org/officeDocument/2006/relationships/hyperlink" Target="file:///h:\sj\20190508.docx" TargetMode="External"/><Relationship Id="rId27" Type="http://schemas.openxmlformats.org/officeDocument/2006/relationships/hyperlink" Target="file:///h:\sj\20190509.docx" TargetMode="External"/><Relationship Id="rId30" Type="http://schemas.openxmlformats.org/officeDocument/2006/relationships/hyperlink" Target="file:///h:\sj\20200227.docx" TargetMode="External"/><Relationship Id="rId35" Type="http://schemas.openxmlformats.org/officeDocument/2006/relationships/hyperlink" Target="file:///p:\pprever\2019-20\455_201904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455: Professional licenses, temporary - South Carolina Legislature Online</dc:title>
  <dc:subject/>
  <dc:creator>Stacey Morris</dc:creator>
  <cp:keywords/>
  <dc:description/>
  <cp:lastModifiedBy>Derrick Williamson</cp:lastModifiedBy>
  <cp:revision>2</cp:revision>
  <cp:lastPrinted>2009-02-19T22:23:00Z</cp:lastPrinted>
  <dcterms:created xsi:type="dcterms:W3CDTF">2020-08-31T18:55:00Z</dcterms:created>
  <dcterms:modified xsi:type="dcterms:W3CDTF">2020-08-31T18:55:00Z</dcterms:modified>
</cp:coreProperties>
</file>