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7240">
        <w:rPr>
          <w:rFonts w:eastAsia="Times New Roman" w:cs="Times New Roman"/>
          <w:b/>
          <w:szCs w:val="20"/>
        </w:rPr>
        <w:t>South Carolina General Assembly</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7240">
        <w:rPr>
          <w:rFonts w:eastAsia="Times New Roman" w:cs="Times New Roman"/>
          <w:szCs w:val="20"/>
        </w:rPr>
        <w:t>123rd Session, 2019-2020</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6F2D3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R157, S719</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b/>
          <w:szCs w:val="20"/>
        </w:rPr>
        <w:t>STATUS INFORMATION</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szCs w:val="20"/>
        </w:rPr>
        <w:t>General Bill</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szCs w:val="20"/>
        </w:rPr>
        <w:t>Sponsors: Senators Hembree, Fanning and Campsen</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szCs w:val="20"/>
        </w:rPr>
        <w:t>Document Path: l:\council\bills\jn\3062cz19.docx</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szCs w:val="20"/>
        </w:rPr>
        <w:t>Companion/Similar bill(s): 4353, 4937</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28, 2019</w:t>
      </w: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2020</w:t>
      </w: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16, 2020</w:t>
      </w: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Adopted by the General Assembly on September 22, 2020</w:t>
      </w: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B10C26" w:rsidRDefault="00B10C26"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szCs w:val="20"/>
        </w:rPr>
        <w:t>Summary: Raffles</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5A7240" w:rsidP="005A7240">
      <w:pPr>
        <w:widowControl w:val="0"/>
        <w:tabs>
          <w:tab w:val="center" w:pos="590"/>
          <w:tab w:val="center" w:pos="1440"/>
          <w:tab w:val="left" w:pos="1872"/>
          <w:tab w:val="left" w:pos="9187"/>
        </w:tabs>
        <w:rPr>
          <w:rFonts w:eastAsia="Times New Roman" w:cs="Times New Roman"/>
          <w:szCs w:val="20"/>
        </w:rPr>
      </w:pPr>
      <w:r w:rsidRPr="005A7240">
        <w:rPr>
          <w:rFonts w:eastAsia="Times New Roman" w:cs="Times New Roman"/>
          <w:b/>
          <w:szCs w:val="20"/>
        </w:rPr>
        <w:t>HISTORY OF LEGISLATIVE ACTIONS</w:t>
      </w:r>
    </w:p>
    <w:p w:rsidR="005A7240" w:rsidRPr="005A7240" w:rsidRDefault="005A7240" w:rsidP="005A7240">
      <w:pPr>
        <w:widowControl w:val="0"/>
        <w:tabs>
          <w:tab w:val="center" w:pos="590"/>
          <w:tab w:val="center" w:pos="1440"/>
          <w:tab w:val="left" w:pos="1872"/>
          <w:tab w:val="left" w:pos="9187"/>
        </w:tabs>
        <w:rPr>
          <w:rFonts w:eastAsia="Times New Roman" w:cs="Times New Roman"/>
          <w:szCs w:val="20"/>
        </w:rPr>
      </w:pPr>
    </w:p>
    <w:p w:rsidR="005A7240" w:rsidRPr="005A7240" w:rsidRDefault="005A7240" w:rsidP="005A7240">
      <w:pPr>
        <w:widowControl w:val="0"/>
        <w:tabs>
          <w:tab w:val="center" w:pos="590"/>
          <w:tab w:val="center" w:pos="1440"/>
          <w:tab w:val="left" w:pos="1872"/>
          <w:tab w:val="left" w:pos="9187"/>
        </w:tabs>
        <w:rPr>
          <w:rFonts w:eastAsia="Times New Roman" w:cs="Times New Roman"/>
          <w:szCs w:val="20"/>
        </w:rPr>
      </w:pPr>
      <w:r w:rsidRPr="005A7240">
        <w:rPr>
          <w:rFonts w:eastAsia="Times New Roman" w:cs="Times New Roman"/>
          <w:szCs w:val="20"/>
          <w:u w:val="single"/>
        </w:rPr>
        <w:tab/>
        <w:t>Date</w:t>
      </w:r>
      <w:r w:rsidRPr="005A7240">
        <w:rPr>
          <w:rFonts w:eastAsia="Times New Roman" w:cs="Times New Roman"/>
          <w:szCs w:val="20"/>
          <w:u w:val="single"/>
        </w:rPr>
        <w:tab/>
        <w:t>Body</w:t>
      </w:r>
      <w:r w:rsidRPr="005A7240">
        <w:rPr>
          <w:rFonts w:eastAsia="Times New Roman" w:cs="Times New Roman"/>
          <w:szCs w:val="20"/>
          <w:u w:val="single"/>
        </w:rPr>
        <w:tab/>
        <w:t>Action Description with journal page number</w:t>
      </w:r>
      <w:r w:rsidRPr="005A7240">
        <w:rPr>
          <w:rFonts w:eastAsia="Times New Roman" w:cs="Times New Roman"/>
          <w:szCs w:val="20"/>
          <w:u w:val="single"/>
        </w:rPr>
        <w:tab/>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t>Introduced and read first time (</w:t>
      </w:r>
      <w:hyperlink r:id="rId6" w:history="1">
        <w:r w:rsidRPr="00CF6F07">
          <w:rPr>
            <w:rStyle w:val="Hyperlink"/>
            <w:rFonts w:cs="Times New Roman"/>
          </w:rPr>
          <w:t>Senate Journal</w:t>
        </w:r>
        <w:r w:rsidRPr="00CF6F07">
          <w:rPr>
            <w:rStyle w:val="Hyperlink"/>
            <w:rFonts w:cs="Times New Roman"/>
          </w:rPr>
          <w:noBreakHyphen/>
          <w:t>page 2</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Senate</w:t>
      </w:r>
      <w:r>
        <w:rPr>
          <w:rFonts w:cs="Times New Roman"/>
        </w:rPr>
        <w:tab/>
        <w:t xml:space="preserve">Referred to Committee on </w:t>
      </w:r>
      <w:r w:rsidRPr="00CF6F07">
        <w:rPr>
          <w:rFonts w:cs="Times New Roman"/>
          <w:b/>
        </w:rPr>
        <w:t>Judiciary</w:t>
      </w:r>
      <w:r>
        <w:rPr>
          <w:rFonts w:cs="Times New Roman"/>
        </w:rPr>
        <w:t xml:space="preserve"> (</w:t>
      </w:r>
      <w:hyperlink r:id="rId7" w:history="1">
        <w:r w:rsidRPr="00CF6F07">
          <w:rPr>
            <w:rStyle w:val="Hyperlink"/>
            <w:rFonts w:cs="Times New Roman"/>
          </w:rPr>
          <w:t>Senate Journal</w:t>
        </w:r>
        <w:r w:rsidRPr="00CF6F07">
          <w:rPr>
            <w:rStyle w:val="Hyperlink"/>
            <w:rFonts w:cs="Times New Roman"/>
          </w:rPr>
          <w:noBreakHyphen/>
          <w:t>page 2</w:t>
        </w:r>
      </w:hyperlink>
      <w:bookmarkStart w:id="0" w:name="_GoBack"/>
      <w:bookmarkEnd w:id="0"/>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2/7/2020</w:t>
      </w:r>
      <w:r>
        <w:rPr>
          <w:rFonts w:cs="Times New Roman"/>
        </w:rPr>
        <w:tab/>
        <w:t>Senate</w:t>
      </w:r>
      <w:r>
        <w:rPr>
          <w:rFonts w:cs="Times New Roman"/>
        </w:rPr>
        <w:tab/>
        <w:t>Referred to Subcommittee:  Campsen (ch), Massey, McElveen, Fanning, Loftis</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 xml:space="preserve">Committee report: Favorable with amendment </w:t>
      </w:r>
      <w:r w:rsidRPr="00CF6F07">
        <w:rPr>
          <w:rFonts w:cs="Times New Roman"/>
          <w:b/>
        </w:rPr>
        <w:t>Judiciary</w:t>
      </w:r>
      <w:r>
        <w:rPr>
          <w:rFonts w:cs="Times New Roman"/>
        </w:rPr>
        <w:t xml:space="preserve"> (</w:t>
      </w:r>
      <w:hyperlink r:id="rId8" w:history="1">
        <w:r w:rsidRPr="00CF6F07">
          <w:rPr>
            <w:rStyle w:val="Hyperlink"/>
            <w:rFonts w:cs="Times New Roman"/>
          </w:rPr>
          <w:t>Senate Journal</w:t>
        </w:r>
        <w:r w:rsidRPr="00CF6F07">
          <w:rPr>
            <w:rStyle w:val="Hyperlink"/>
            <w:rFonts w:cs="Times New Roman"/>
          </w:rPr>
          <w:noBreakHyphen/>
          <w:t>page 17</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3/5/2020</w:t>
      </w:r>
      <w:r>
        <w:rPr>
          <w:rFonts w:cs="Times New Roman"/>
        </w:rPr>
        <w:tab/>
      </w:r>
      <w:r>
        <w:rPr>
          <w:rFonts w:cs="Times New Roman"/>
        </w:rPr>
        <w:tab/>
        <w:t>Scrivener's error corrected</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Committee Amendment Adopted (</w:t>
      </w:r>
      <w:hyperlink r:id="rId9" w:history="1">
        <w:r w:rsidRPr="00CF6F07">
          <w:rPr>
            <w:rStyle w:val="Hyperlink"/>
            <w:rFonts w:cs="Times New Roman"/>
          </w:rPr>
          <w:t>Senate Journal</w:t>
        </w:r>
        <w:r w:rsidRPr="00CF6F07">
          <w:rPr>
            <w:rStyle w:val="Hyperlink"/>
            <w:rFonts w:cs="Times New Roman"/>
          </w:rPr>
          <w:noBreakHyphen/>
          <w:t>page 50</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second time (</w:t>
      </w:r>
      <w:hyperlink r:id="rId10" w:history="1">
        <w:r w:rsidRPr="00CF6F07">
          <w:rPr>
            <w:rStyle w:val="Hyperlink"/>
            <w:rFonts w:cs="Times New Roman"/>
          </w:rPr>
          <w:t>Senate Journal</w:t>
        </w:r>
        <w:r w:rsidRPr="00CF6F07">
          <w:rPr>
            <w:rStyle w:val="Hyperlink"/>
            <w:rFonts w:cs="Times New Roman"/>
          </w:rPr>
          <w:noBreakHyphen/>
          <w:t>page 50</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CF6F07">
          <w:rPr>
            <w:rStyle w:val="Hyperlink"/>
            <w:rFonts w:cs="Times New Roman"/>
          </w:rPr>
          <w:t>Senate Journal</w:t>
        </w:r>
        <w:r w:rsidRPr="00CF6F07">
          <w:rPr>
            <w:rStyle w:val="Hyperlink"/>
            <w:rFonts w:cs="Times New Roman"/>
          </w:rPr>
          <w:noBreakHyphen/>
          <w:t>page 50</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r>
      <w:r>
        <w:rPr>
          <w:rFonts w:cs="Times New Roman"/>
        </w:rPr>
        <w:tab/>
        <w:t>Scrivener's error corrected</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Read third time and sent to House (</w:t>
      </w:r>
      <w:hyperlink r:id="rId12" w:history="1">
        <w:r w:rsidRPr="00CF6F07">
          <w:rPr>
            <w:rStyle w:val="Hyperlink"/>
            <w:rFonts w:cs="Times New Roman"/>
          </w:rPr>
          <w:t>Senate Journal</w:t>
        </w:r>
        <w:r w:rsidRPr="00CF6F07">
          <w:rPr>
            <w:rStyle w:val="Hyperlink"/>
            <w:rFonts w:cs="Times New Roman"/>
          </w:rPr>
          <w:noBreakHyphen/>
          <w:t>page 17</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Introduced and read first time (</w:t>
      </w:r>
      <w:hyperlink r:id="rId13" w:history="1">
        <w:r w:rsidRPr="00CF6F07">
          <w:rPr>
            <w:rStyle w:val="Hyperlink"/>
            <w:rFonts w:cs="Times New Roman"/>
          </w:rPr>
          <w:t>House Journal</w:t>
        </w:r>
        <w:r w:rsidRPr="00CF6F07">
          <w:rPr>
            <w:rStyle w:val="Hyperlink"/>
            <w:rFonts w:cs="Times New Roman"/>
          </w:rPr>
          <w:noBreakHyphen/>
          <w:t>page 24</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t>House</w:t>
      </w:r>
      <w:r>
        <w:rPr>
          <w:rFonts w:cs="Times New Roman"/>
        </w:rPr>
        <w:tab/>
        <w:t xml:space="preserve">Referred to Committee on </w:t>
      </w:r>
      <w:r w:rsidRPr="00CF6F07">
        <w:rPr>
          <w:rFonts w:cs="Times New Roman"/>
          <w:b/>
        </w:rPr>
        <w:t>Ways and Means</w:t>
      </w:r>
      <w:r>
        <w:rPr>
          <w:rFonts w:cs="Times New Roman"/>
        </w:rPr>
        <w:t xml:space="preserve"> (</w:t>
      </w:r>
      <w:hyperlink r:id="rId14" w:history="1">
        <w:r w:rsidRPr="00CF6F07">
          <w:rPr>
            <w:rStyle w:val="Hyperlink"/>
            <w:rFonts w:cs="Times New Roman"/>
          </w:rPr>
          <w:t>House Journal</w:t>
        </w:r>
        <w:r w:rsidRPr="00CF6F07">
          <w:rPr>
            <w:rStyle w:val="Hyperlink"/>
            <w:rFonts w:cs="Times New Roman"/>
          </w:rPr>
          <w:noBreakHyphen/>
          <w:t>page 24</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 xml:space="preserve">Recalled from Committee on </w:t>
      </w:r>
      <w:r w:rsidRPr="00CF6F07">
        <w:rPr>
          <w:rFonts w:cs="Times New Roman"/>
          <w:b/>
        </w:rPr>
        <w:t>Ways and Means</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Read second time (</w:t>
      </w:r>
      <w:hyperlink r:id="rId15" w:history="1">
        <w:r w:rsidRPr="00CF6F07">
          <w:rPr>
            <w:rStyle w:val="Hyperlink"/>
            <w:rFonts w:cs="Times New Roman"/>
          </w:rPr>
          <w:t>House Journal</w:t>
        </w:r>
        <w:r w:rsidRPr="00CF6F07">
          <w:rPr>
            <w:rStyle w:val="Hyperlink"/>
            <w:rFonts w:cs="Times New Roman"/>
          </w:rPr>
          <w:noBreakHyphen/>
          <w:t>page 110</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6" w:history="1">
        <w:r w:rsidRPr="00CF6F07">
          <w:rPr>
            <w:rStyle w:val="Hyperlink"/>
            <w:rFonts w:cs="Times New Roman"/>
          </w:rPr>
          <w:t>House Journal</w:t>
        </w:r>
        <w:r w:rsidRPr="00CF6F07">
          <w:rPr>
            <w:rStyle w:val="Hyperlink"/>
            <w:rFonts w:cs="Times New Roman"/>
          </w:rPr>
          <w:noBreakHyphen/>
          <w:t>page 110</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Reconsidered (</w:t>
      </w:r>
      <w:hyperlink r:id="rId17" w:history="1">
        <w:r w:rsidRPr="00CF6F07">
          <w:rPr>
            <w:rStyle w:val="Hyperlink"/>
            <w:rFonts w:cs="Times New Roman"/>
          </w:rPr>
          <w:t>House Journal</w:t>
        </w:r>
        <w:r w:rsidRPr="00CF6F07">
          <w:rPr>
            <w:rStyle w:val="Hyperlink"/>
            <w:rFonts w:cs="Times New Roman"/>
          </w:rPr>
          <w:noBreakHyphen/>
          <w:t>page 5</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Amended (</w:t>
      </w:r>
      <w:hyperlink r:id="rId18" w:history="1">
        <w:r w:rsidRPr="00CF6F07">
          <w:rPr>
            <w:rStyle w:val="Hyperlink"/>
            <w:rFonts w:cs="Times New Roman"/>
          </w:rPr>
          <w:t>House Journal</w:t>
        </w:r>
        <w:r w:rsidRPr="00CF6F07">
          <w:rPr>
            <w:rStyle w:val="Hyperlink"/>
            <w:rFonts w:cs="Times New Roman"/>
          </w:rPr>
          <w:noBreakHyphen/>
          <w:t>page 7</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Read second time (</w:t>
      </w:r>
      <w:hyperlink r:id="rId19" w:history="1">
        <w:r w:rsidRPr="00CF6F07">
          <w:rPr>
            <w:rStyle w:val="Hyperlink"/>
            <w:rFonts w:cs="Times New Roman"/>
          </w:rPr>
          <w:t>House Journal</w:t>
        </w:r>
        <w:r w:rsidRPr="00CF6F07">
          <w:rPr>
            <w:rStyle w:val="Hyperlink"/>
            <w:rFonts w:cs="Times New Roman"/>
          </w:rPr>
          <w:noBreakHyphen/>
          <w:t>page 7</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20" w:history="1">
        <w:r w:rsidRPr="00CF6F07">
          <w:rPr>
            <w:rStyle w:val="Hyperlink"/>
            <w:rFonts w:cs="Times New Roman"/>
          </w:rPr>
          <w:t>House Journal</w:t>
        </w:r>
        <w:r w:rsidRPr="00CF6F07">
          <w:rPr>
            <w:rStyle w:val="Hyperlink"/>
            <w:rFonts w:cs="Times New Roman"/>
          </w:rPr>
          <w:noBreakHyphen/>
          <w:t>page 7</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r>
      <w:r>
        <w:rPr>
          <w:rFonts w:cs="Times New Roman"/>
        </w:rPr>
        <w:tab/>
        <w:t>Scrivener's error corrected</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third time and returned to Senate with amendments (</w:t>
      </w:r>
      <w:hyperlink r:id="rId21" w:history="1">
        <w:r w:rsidRPr="00CF6F07">
          <w:rPr>
            <w:rStyle w:val="Hyperlink"/>
            <w:rFonts w:cs="Times New Roman"/>
          </w:rPr>
          <w:t>House Journal</w:t>
        </w:r>
        <w:r w:rsidRPr="00CF6F07">
          <w:rPr>
            <w:rStyle w:val="Hyperlink"/>
            <w:rFonts w:cs="Times New Roman"/>
          </w:rPr>
          <w:noBreakHyphen/>
          <w:t>page 22</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Concurred in amendment (</w:t>
      </w:r>
      <w:hyperlink r:id="rId22" w:history="1">
        <w:r w:rsidRPr="00CF6F07">
          <w:rPr>
            <w:rStyle w:val="Hyperlink"/>
            <w:rFonts w:cs="Times New Roman"/>
          </w:rPr>
          <w:t>Senate Journal</w:t>
        </w:r>
        <w:r w:rsidRPr="00CF6F07">
          <w:rPr>
            <w:rStyle w:val="Hyperlink"/>
            <w:rFonts w:cs="Times New Roman"/>
          </w:rPr>
          <w:noBreakHyphen/>
          <w:t>page 11</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3" w:history="1">
        <w:r w:rsidRPr="00CF6F07">
          <w:rPr>
            <w:rStyle w:val="Hyperlink"/>
            <w:rFonts w:cs="Times New Roman"/>
          </w:rPr>
          <w:t>Senate Journal</w:t>
        </w:r>
        <w:r w:rsidRPr="00CF6F07">
          <w:rPr>
            <w:rStyle w:val="Hyperlink"/>
            <w:rFonts w:cs="Times New Roman"/>
          </w:rPr>
          <w:noBreakHyphen/>
          <w:t>page 11</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Ordered enrolled for ratification (</w:t>
      </w:r>
      <w:hyperlink r:id="rId24" w:history="1">
        <w:r w:rsidRPr="00CF6F07">
          <w:rPr>
            <w:rStyle w:val="Hyperlink"/>
            <w:rFonts w:cs="Times New Roman"/>
          </w:rPr>
          <w:t>Senate Journal</w:t>
        </w:r>
        <w:r w:rsidRPr="00CF6F07">
          <w:rPr>
            <w:rStyle w:val="Hyperlink"/>
            <w:rFonts w:cs="Times New Roman"/>
          </w:rPr>
          <w:noBreakHyphen/>
          <w:t>page 11</w:t>
        </w:r>
      </w:hyperlink>
      <w:r>
        <w:rPr>
          <w:rFonts w:cs="Times New Roman"/>
        </w:rPr>
        <w:t>)</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157</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0C450F" w:rsidRDefault="000C450F" w:rsidP="000C450F">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148</w:t>
      </w:r>
    </w:p>
    <w:p w:rsidR="000C450F" w:rsidRDefault="000C450F" w:rsidP="000C450F">
      <w:pPr>
        <w:widowControl w:val="0"/>
        <w:tabs>
          <w:tab w:val="right" w:pos="1008"/>
          <w:tab w:val="left" w:pos="1152"/>
          <w:tab w:val="left" w:pos="1872"/>
          <w:tab w:val="left" w:pos="9187"/>
        </w:tabs>
        <w:ind w:left="2088" w:hanging="2088"/>
        <w:rPr>
          <w:rFonts w:cs="Times New Roman"/>
        </w:rPr>
      </w:pPr>
    </w:p>
    <w:p w:rsidR="005A7240" w:rsidRPr="005A7240" w:rsidRDefault="005A7240" w:rsidP="005A7240">
      <w:pPr>
        <w:widowControl w:val="0"/>
        <w:tabs>
          <w:tab w:val="right" w:pos="1008"/>
          <w:tab w:val="left" w:pos="1152"/>
          <w:tab w:val="left" w:pos="1872"/>
          <w:tab w:val="left" w:pos="9187"/>
        </w:tabs>
        <w:ind w:left="2088" w:hanging="2088"/>
        <w:rPr>
          <w:rFonts w:eastAsia="Times New Roman" w:cs="Times New Roman"/>
          <w:szCs w:val="20"/>
        </w:rPr>
      </w:pPr>
      <w:r w:rsidRPr="005A7240">
        <w:rPr>
          <w:rFonts w:eastAsia="Times New Roman" w:cs="Times New Roman"/>
          <w:szCs w:val="20"/>
        </w:rPr>
        <w:t xml:space="preserve">View the latest </w:t>
      </w:r>
      <w:hyperlink r:id="rId25" w:history="1">
        <w:r w:rsidRPr="005A7240">
          <w:rPr>
            <w:rFonts w:eastAsia="Times New Roman" w:cs="Times New Roman"/>
            <w:color w:val="0000FF" w:themeColor="hyperlink"/>
            <w:szCs w:val="20"/>
            <w:u w:val="single"/>
          </w:rPr>
          <w:t>legislative information</w:t>
        </w:r>
      </w:hyperlink>
      <w:r w:rsidRPr="005A7240">
        <w:rPr>
          <w:rFonts w:eastAsia="Times New Roman" w:cs="Times New Roman"/>
          <w:szCs w:val="20"/>
        </w:rPr>
        <w:t xml:space="preserve"> at the website</w:t>
      </w:r>
    </w:p>
    <w:p w:rsidR="005A7240" w:rsidRPr="005A7240" w:rsidRDefault="005A7240" w:rsidP="005A7240">
      <w:pPr>
        <w:widowControl w:val="0"/>
        <w:tabs>
          <w:tab w:val="right" w:pos="1008"/>
          <w:tab w:val="left" w:pos="1152"/>
          <w:tab w:val="left" w:pos="1872"/>
          <w:tab w:val="left" w:pos="9187"/>
        </w:tabs>
        <w:ind w:left="2088" w:hanging="2088"/>
        <w:rPr>
          <w:rFonts w:eastAsia="Times New Roman" w:cs="Times New Roman"/>
          <w:szCs w:val="20"/>
        </w:rPr>
      </w:pPr>
    </w:p>
    <w:p w:rsidR="005A7240" w:rsidRPr="005A7240" w:rsidRDefault="005A7240" w:rsidP="005A7240">
      <w:pPr>
        <w:widowControl w:val="0"/>
        <w:tabs>
          <w:tab w:val="right" w:pos="1008"/>
          <w:tab w:val="left" w:pos="1152"/>
          <w:tab w:val="left" w:pos="1872"/>
          <w:tab w:val="left" w:pos="9187"/>
        </w:tabs>
        <w:ind w:left="2088" w:hanging="2088"/>
        <w:rPr>
          <w:rFonts w:eastAsia="Times New Roman" w:cs="Times New Roman"/>
          <w:szCs w:val="20"/>
        </w:rPr>
      </w:pP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7240">
        <w:rPr>
          <w:rFonts w:eastAsia="Times New Roman" w:cs="Times New Roman"/>
          <w:b/>
          <w:szCs w:val="20"/>
        </w:rPr>
        <w:t>VERSIONS OF THIS BILL</w:t>
      </w:r>
    </w:p>
    <w:p w:rsidR="005A7240" w:rsidRPr="005A7240" w:rsidRDefault="005A7240"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7240" w:rsidRPr="005A7240" w:rsidRDefault="00C25FF5" w:rsidP="005A72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5A7240" w:rsidRPr="005A7240">
          <w:rPr>
            <w:rFonts w:eastAsia="Times New Roman" w:cs="Times New Roman"/>
            <w:color w:val="0000FF" w:themeColor="hyperlink"/>
            <w:szCs w:val="20"/>
            <w:u w:val="single"/>
          </w:rPr>
          <w:t>3/28/2019</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A7240" w:rsidRPr="005A7240">
          <w:rPr>
            <w:rFonts w:eastAsia="Times New Roman" w:cs="Times New Roman"/>
            <w:color w:val="0000FF" w:themeColor="hyperlink"/>
            <w:szCs w:val="20"/>
            <w:u w:val="single"/>
          </w:rPr>
          <w:t>3/4/2020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A7240" w:rsidRPr="005A7240">
          <w:rPr>
            <w:rFonts w:eastAsia="Times New Roman" w:cs="Times New Roman"/>
            <w:color w:val="0000FF" w:themeColor="hyperlink"/>
            <w:szCs w:val="20"/>
            <w:u w:val="single"/>
          </w:rPr>
          <w:t>3/5/2020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A7240" w:rsidRPr="005A7240">
          <w:rPr>
            <w:rFonts w:eastAsia="Times New Roman" w:cs="Times New Roman"/>
            <w:color w:val="0000FF" w:themeColor="hyperlink"/>
            <w:szCs w:val="20"/>
            <w:u w:val="single"/>
          </w:rPr>
          <w:t>3/10/2020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A7240" w:rsidRPr="005A7240">
          <w:rPr>
            <w:rFonts w:eastAsia="Times New Roman" w:cs="Times New Roman"/>
            <w:color w:val="0000FF" w:themeColor="hyperlink"/>
            <w:szCs w:val="20"/>
            <w:u w:val="single"/>
          </w:rPr>
          <w:t>3/11/2020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A7240" w:rsidRPr="005A7240">
          <w:rPr>
            <w:rFonts w:eastAsia="Times New Roman" w:cs="Times New Roman"/>
            <w:color w:val="0000FF" w:themeColor="hyperlink"/>
            <w:szCs w:val="20"/>
            <w:u w:val="single"/>
          </w:rPr>
          <w:t>5/12/2020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A7240" w:rsidRPr="005A7240">
          <w:rPr>
            <w:rFonts w:eastAsia="Times New Roman" w:cs="Times New Roman"/>
            <w:color w:val="0000FF" w:themeColor="hyperlink"/>
            <w:szCs w:val="20"/>
            <w:u w:val="single"/>
          </w:rPr>
          <w:t>9/16/2020</w:t>
        </w:r>
      </w:hyperlink>
    </w:p>
    <w:p w:rsidR="005A7240" w:rsidRPr="005A7240" w:rsidRDefault="00C25FF5"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A7240" w:rsidRPr="005A7240">
          <w:rPr>
            <w:rFonts w:eastAsia="Times New Roman" w:cs="Times New Roman"/>
            <w:color w:val="0000FF" w:themeColor="hyperlink"/>
            <w:szCs w:val="20"/>
            <w:u w:val="single"/>
          </w:rPr>
          <w:t>9/22/2020</w:t>
        </w:r>
      </w:hyperlink>
    </w:p>
    <w:p w:rsidR="005A7240" w:rsidRPr="005A7240" w:rsidRDefault="005A7240"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7240" w:rsidRDefault="005A7240" w:rsidP="005A72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7240" w:rsidSect="005A7240">
          <w:pgSz w:w="12240" w:h="15840" w:code="1"/>
          <w:pgMar w:top="1080" w:right="1440" w:bottom="1080" w:left="1440" w:header="720" w:footer="720" w:gutter="0"/>
          <w:pgNumType w:start="1"/>
          <w:cols w:space="720"/>
          <w:noEndnote/>
          <w:docGrid w:linePitch="360"/>
        </w:sectPr>
      </w:pP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R157, S719)</w:t>
      </w:r>
    </w:p>
    <w:p w:rsidR="006B2126" w:rsidRPr="008836A5"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2126" w:rsidRPr="005A724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7240">
        <w:rPr>
          <w:rFonts w:cs="Times New Roman"/>
          <w:b/>
          <w:color w:val="000000" w:themeColor="text1"/>
          <w:szCs w:val="36"/>
        </w:rPr>
        <w:t xml:space="preserve">AN ACT </w:t>
      </w:r>
      <w:r w:rsidRPr="005A7240">
        <w:rPr>
          <w:rFonts w:cs="Times New Roman"/>
          <w:b/>
          <w:color w:val="000000" w:themeColor="text1"/>
          <w:u w:color="000000" w:themeColor="text1"/>
        </w:rPr>
        <w:t>TO AMEND SECTION 33</w:t>
      </w:r>
      <w:r w:rsidRPr="005A7240">
        <w:rPr>
          <w:rFonts w:cs="Times New Roman"/>
          <w:b/>
          <w:color w:val="000000" w:themeColor="text1"/>
          <w:u w:color="000000" w:themeColor="text1"/>
        </w:rPr>
        <w:noBreakHyphen/>
        <w:t>57</w:t>
      </w:r>
      <w:r w:rsidRPr="005A7240">
        <w:rPr>
          <w:rFonts w:cs="Times New Roman"/>
          <w:b/>
          <w:color w:val="000000" w:themeColor="text1"/>
          <w:u w:color="000000" w:themeColor="text1"/>
        </w:rPr>
        <w:noBreakHyphen/>
        <w:t>140, AS AMENDED, CODE OF LAWS OF SOUTH CAROLINA, 1976, RELATING TO STANDARDS FOR RAFFLES CONDUCTED BY NONPROFIT ORGANIZATIONS, SO AS TO INCREASE THE MAXIMUM FAIR MARKET VALUE OF AN INDIVIDUAL PRIZE; TO AMEND SECTION 33</w:t>
      </w:r>
      <w:r w:rsidRPr="005A7240">
        <w:rPr>
          <w:rFonts w:cs="Times New Roman"/>
          <w:b/>
          <w:color w:val="000000" w:themeColor="text1"/>
          <w:u w:color="000000" w:themeColor="text1"/>
        </w:rPr>
        <w:noBreakHyphen/>
        <w:t>57</w:t>
      </w:r>
      <w:r w:rsidRPr="005A7240">
        <w:rPr>
          <w:rFonts w:cs="Times New Roman"/>
          <w:b/>
          <w:color w:val="000000" w:themeColor="text1"/>
          <w:u w:color="000000" w:themeColor="text1"/>
        </w:rPr>
        <w:noBreakHyphen/>
        <w:t>150, RELATING TO ALLOWABLE EXPENSES FOR A RAFFLE, SO AS TO ADJUST CERTAIN RECORDING REQUIREMENTS AND ALLOW A NONPROFIT ORGANIZATION TO SUBMIT A SINGLE REPORT FOR ALL RAFFLES CONDUCTED; AND TO REPEAL SECTION 33</w:t>
      </w:r>
      <w:r w:rsidRPr="005A7240">
        <w:rPr>
          <w:rFonts w:cs="Times New Roman"/>
          <w:b/>
          <w:color w:val="000000" w:themeColor="text1"/>
          <w:u w:color="000000" w:themeColor="text1"/>
        </w:rPr>
        <w:noBreakHyphen/>
        <w:t>57</w:t>
      </w:r>
      <w:r w:rsidRPr="005A7240">
        <w:rPr>
          <w:rFonts w:cs="Times New Roman"/>
          <w:b/>
          <w:color w:val="000000" w:themeColor="text1"/>
          <w:u w:color="000000" w:themeColor="text1"/>
        </w:rPr>
        <w:noBreakHyphen/>
        <w:t>200 RELATING TO THE REPEAL OF CHAPTER 57, TITLE 33.</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1E50">
        <w:rPr>
          <w:rFonts w:cs="Times New Roman"/>
        </w:rPr>
        <w:t>Be it enacted by the General Assembly of the State of South Carolina:</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2126" w:rsidRPr="00FA30A1"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Raffle prize v</w:t>
      </w:r>
      <w:r w:rsidRPr="00FA30A1">
        <w:rPr>
          <w:rFonts w:cs="Times New Roman"/>
          <w:b/>
        </w:rPr>
        <w:t>alue increased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SECTION</w:t>
      </w:r>
      <w:r w:rsidRPr="00DB1E50">
        <w:rPr>
          <w:rFonts w:cs="Times New Roman"/>
          <w:color w:val="000000" w:themeColor="text1"/>
          <w:u w:color="000000" w:themeColor="text1"/>
        </w:rPr>
        <w:tab/>
        <w:t>1.</w:t>
      </w:r>
      <w:r w:rsidRPr="00DB1E50">
        <w:rPr>
          <w:rFonts w:cs="Times New Roman"/>
          <w:color w:val="000000" w:themeColor="text1"/>
          <w:u w:color="000000" w:themeColor="text1"/>
        </w:rPr>
        <w:tab/>
        <w:t>Section 33</w:t>
      </w:r>
      <w:r>
        <w:rPr>
          <w:rFonts w:cs="Times New Roman"/>
          <w:color w:val="000000" w:themeColor="text1"/>
          <w:u w:color="000000" w:themeColor="text1"/>
        </w:rPr>
        <w:noBreakHyphen/>
      </w:r>
      <w:r w:rsidRPr="00DB1E50">
        <w:rPr>
          <w:rFonts w:cs="Times New Roman"/>
          <w:color w:val="000000" w:themeColor="text1"/>
          <w:u w:color="000000" w:themeColor="text1"/>
        </w:rPr>
        <w:t>57</w:t>
      </w:r>
      <w:r>
        <w:rPr>
          <w:rFonts w:cs="Times New Roman"/>
          <w:color w:val="000000" w:themeColor="text1"/>
          <w:u w:color="000000" w:themeColor="text1"/>
        </w:rPr>
        <w:noBreakHyphen/>
      </w:r>
      <w:r w:rsidRPr="00DB1E50">
        <w:rPr>
          <w:rFonts w:cs="Times New Roman"/>
          <w:color w:val="000000" w:themeColor="text1"/>
          <w:u w:color="000000" w:themeColor="text1"/>
        </w:rPr>
        <w:t xml:space="preserve">140(L) of the 1976 Code is amended to read: </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“(L)</w:t>
      </w:r>
      <w:r w:rsidRPr="00DB1E50">
        <w:rPr>
          <w:rFonts w:cs="Times New Roman"/>
          <w:color w:val="000000" w:themeColor="text1"/>
          <w:u w:color="000000" w:themeColor="text1"/>
        </w:rPr>
        <w:tab/>
        <w:t>An individual prize awarded to each winner in a raffle shall not exceed a maximum fair market value of eighty thousand dollars. No real property shall be offered as a prize in a raffle. For each raffle event, the total fair market value of all prizes offered by any nonprofit organization shall not exceed three hundred thousand dollars.”</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FA30A1"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Raffle allowable expenses</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SECTION</w:t>
      </w:r>
      <w:r w:rsidRPr="00DB1E50">
        <w:rPr>
          <w:rFonts w:cs="Times New Roman"/>
          <w:color w:val="000000" w:themeColor="text1"/>
          <w:u w:color="000000" w:themeColor="text1"/>
        </w:rPr>
        <w:tab/>
        <w:t>2.</w:t>
      </w:r>
      <w:r w:rsidRPr="00DB1E50">
        <w:rPr>
          <w:rFonts w:cs="Times New Roman"/>
          <w:color w:val="000000" w:themeColor="text1"/>
          <w:u w:color="000000" w:themeColor="text1"/>
        </w:rPr>
        <w:tab/>
        <w:t>Section 33</w:t>
      </w:r>
      <w:r>
        <w:rPr>
          <w:rFonts w:cs="Times New Roman"/>
          <w:color w:val="000000" w:themeColor="text1"/>
          <w:u w:color="000000" w:themeColor="text1"/>
        </w:rPr>
        <w:noBreakHyphen/>
      </w:r>
      <w:r w:rsidRPr="00DB1E50">
        <w:rPr>
          <w:rFonts w:cs="Times New Roman"/>
          <w:color w:val="000000" w:themeColor="text1"/>
          <w:u w:color="000000" w:themeColor="text1"/>
        </w:rPr>
        <w:t>57</w:t>
      </w:r>
      <w:r>
        <w:rPr>
          <w:rFonts w:cs="Times New Roman"/>
          <w:color w:val="000000" w:themeColor="text1"/>
          <w:u w:color="000000" w:themeColor="text1"/>
        </w:rPr>
        <w:noBreakHyphen/>
      </w:r>
      <w:r w:rsidRPr="00DB1E50">
        <w:rPr>
          <w:rFonts w:cs="Times New Roman"/>
          <w:color w:val="000000" w:themeColor="text1"/>
          <w:u w:color="000000" w:themeColor="text1"/>
        </w:rPr>
        <w:t>150 of the 1976 Code is amended to read: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 xml:space="preserve"> </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“Section 33</w:t>
      </w:r>
      <w:r>
        <w:rPr>
          <w:rFonts w:cs="Times New Roman"/>
          <w:color w:val="000000" w:themeColor="text1"/>
          <w:u w:color="000000" w:themeColor="text1"/>
        </w:rPr>
        <w:noBreakHyphen/>
      </w:r>
      <w:r w:rsidRPr="00DB1E50">
        <w:rPr>
          <w:rFonts w:cs="Times New Roman"/>
          <w:color w:val="000000" w:themeColor="text1"/>
          <w:u w:color="000000" w:themeColor="text1"/>
        </w:rPr>
        <w:t>57</w:t>
      </w:r>
      <w:r>
        <w:rPr>
          <w:rFonts w:cs="Times New Roman"/>
          <w:color w:val="000000" w:themeColor="text1"/>
          <w:u w:color="000000" w:themeColor="text1"/>
        </w:rPr>
        <w:noBreakHyphen/>
      </w:r>
      <w:r w:rsidRPr="00DB1E50">
        <w:rPr>
          <w:rFonts w:cs="Times New Roman"/>
          <w:color w:val="000000" w:themeColor="text1"/>
          <w:u w:color="000000" w:themeColor="text1"/>
        </w:rPr>
        <w:t>150.</w:t>
      </w:r>
      <w:r w:rsidRPr="00DB1E50">
        <w:rPr>
          <w:rFonts w:cs="Times New Roman"/>
          <w:color w:val="000000" w:themeColor="text1"/>
          <w:u w:color="000000" w:themeColor="text1"/>
        </w:rPr>
        <w:tab/>
        <w:t>(A)</w:t>
      </w:r>
      <w:r w:rsidRPr="00DB1E50">
        <w:rPr>
          <w:rFonts w:cs="Times New Roman"/>
          <w:color w:val="000000" w:themeColor="text1"/>
          <w:u w:color="000000" w:themeColor="text1"/>
        </w:rPr>
        <w:tab/>
        <w:t>Expenses that are reasonable and necessary to operate and conduct raffles, as authorized by this chapter, are allowable.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(B)</w:t>
      </w:r>
      <w:r w:rsidRPr="00DB1E50">
        <w:rPr>
          <w:rFonts w:cs="Times New Roman"/>
          <w:color w:val="000000" w:themeColor="text1"/>
          <w:u w:color="000000" w:themeColor="text1"/>
        </w:rPr>
        <w:tab/>
        <w:t>Allowable expenses include only reasonable and necessary expenses incurred for:</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w:t>
      </w:r>
      <w:r w:rsidRPr="00DB1E50">
        <w:rPr>
          <w:rFonts w:cs="Times New Roman"/>
          <w:color w:val="000000" w:themeColor="text1"/>
          <w:u w:color="000000" w:themeColor="text1"/>
        </w:rPr>
        <w:tab/>
        <w:t>advertising, including the cost of printing raffle tickets and gift certificates, provided that costs of advertising are reasonable and the services are not provided, directly or indirectly, in connection with any other service related to operating or conducting a nonprofit raffle regardless of whether those services are compensated;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(2)</w:t>
      </w:r>
      <w:r w:rsidRPr="00DB1E50">
        <w:rPr>
          <w:rFonts w:cs="Times New Roman"/>
          <w:color w:val="000000" w:themeColor="text1"/>
          <w:u w:color="000000" w:themeColor="text1"/>
        </w:rPr>
        <w:tab/>
        <w:t>office supplies, copying, and minor office equipment costs incurred in conducting or operating a nonprofit raffle;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lastRenderedPageBreak/>
        <w:tab/>
      </w:r>
      <w:r w:rsidRPr="00DB1E50">
        <w:rPr>
          <w:rFonts w:cs="Times New Roman"/>
          <w:color w:val="000000" w:themeColor="text1"/>
          <w:u w:color="000000" w:themeColor="text1"/>
        </w:rPr>
        <w:tab/>
        <w:t>(3)</w:t>
      </w:r>
      <w:r w:rsidRPr="00DB1E50">
        <w:rPr>
          <w:rFonts w:cs="Times New Roman"/>
          <w:color w:val="000000" w:themeColor="text1"/>
          <w:u w:color="000000" w:themeColor="text1"/>
        </w:rPr>
        <w:tab/>
        <w:t>reasonable postage, parking, and shipping costs;</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(4)</w:t>
      </w:r>
      <w:r w:rsidRPr="00DB1E50">
        <w:rPr>
          <w:rFonts w:cs="Times New Roman"/>
          <w:color w:val="000000" w:themeColor="text1"/>
          <w:u w:color="000000" w:themeColor="text1"/>
        </w:rPr>
        <w:tab/>
        <w:t>costs of food and beverages, including corkage and gratuity fees, provided to the attendees and volunteers of the event;</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(5)</w:t>
      </w:r>
      <w:r w:rsidRPr="00DB1E50">
        <w:rPr>
          <w:rFonts w:cs="Times New Roman"/>
          <w:color w:val="000000" w:themeColor="text1"/>
          <w:u w:color="000000" w:themeColor="text1"/>
        </w:rPr>
        <w:tab/>
        <w:t>costs of materials and supplies for decorating a facility used for a nonprofit raffle drawing;</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(6)</w:t>
      </w:r>
      <w:r w:rsidRPr="00DB1E50">
        <w:rPr>
          <w:rFonts w:cs="Times New Roman"/>
          <w:color w:val="000000" w:themeColor="text1"/>
          <w:u w:color="000000" w:themeColor="text1"/>
        </w:rPr>
        <w:tab/>
        <w:t>entertainment</w:t>
      </w:r>
      <w:r>
        <w:rPr>
          <w:rFonts w:cs="Times New Roman"/>
          <w:color w:val="000000" w:themeColor="text1"/>
          <w:u w:color="000000" w:themeColor="text1"/>
        </w:rPr>
        <w:noBreakHyphen/>
      </w:r>
      <w:r w:rsidRPr="00DB1E50">
        <w:rPr>
          <w:rFonts w:cs="Times New Roman"/>
          <w:color w:val="000000" w:themeColor="text1"/>
          <w:u w:color="000000" w:themeColor="text1"/>
        </w:rPr>
        <w:t>related costs, such as disc jockeys, music bands, auctioneers, waiters, bartenders, and wait staff incurred during the conducting or operating of a nonprofit raffle drawing;</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(7)</w:t>
      </w:r>
      <w:r w:rsidRPr="00DB1E50">
        <w:rPr>
          <w:rFonts w:cs="Times New Roman"/>
          <w:color w:val="000000" w:themeColor="text1"/>
          <w:u w:color="000000" w:themeColor="text1"/>
        </w:rPr>
        <w:tab/>
        <w:t>repairs to premises and equipment related to conducting or operating a nonprofit raffle;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(8)</w:t>
      </w:r>
      <w:r w:rsidRPr="00DB1E50">
        <w:rPr>
          <w:rFonts w:cs="Times New Roman"/>
          <w:color w:val="000000" w:themeColor="text1"/>
          <w:u w:color="000000" w:themeColor="text1"/>
        </w:rPr>
        <w:tab/>
        <w:t>door prizes or raffle prizes;</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(9)</w:t>
      </w:r>
      <w:r w:rsidRPr="00DB1E50">
        <w:rPr>
          <w:rFonts w:cs="Times New Roman"/>
          <w:color w:val="000000" w:themeColor="text1"/>
          <w:u w:color="000000" w:themeColor="text1"/>
        </w:rPr>
        <w:tab/>
        <w:t>stated premises</w:t>
      </w:r>
      <w:r w:rsidRPr="005500FB">
        <w:rPr>
          <w:rFonts w:cs="Times New Roman"/>
          <w:color w:val="000000" w:themeColor="text1"/>
          <w:u w:color="000000" w:themeColor="text1"/>
        </w:rPr>
        <w:t>’</w:t>
      </w:r>
      <w:r w:rsidRPr="00DB1E50">
        <w:rPr>
          <w:rFonts w:cs="Times New Roman"/>
          <w:color w:val="000000" w:themeColor="text1"/>
          <w:u w:color="000000" w:themeColor="text1"/>
        </w:rPr>
        <w:t xml:space="preserve"> rental or insurance expenses;</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(10)</w:t>
      </w:r>
      <w:r w:rsidRPr="00DB1E50">
        <w:rPr>
          <w:rFonts w:cs="Times New Roman"/>
          <w:color w:val="000000" w:themeColor="text1"/>
          <w:u w:color="000000" w:themeColor="text1"/>
        </w:rPr>
        <w:tab/>
        <w:t>security expenses incurred in conducting or operating a nonprofit raffle;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(11)</w:t>
      </w:r>
      <w:r w:rsidRPr="00DB1E50">
        <w:rPr>
          <w:rFonts w:cs="Times New Roman"/>
          <w:color w:val="000000" w:themeColor="text1"/>
          <w:u w:color="000000" w:themeColor="text1"/>
        </w:rPr>
        <w:tab/>
        <w:t>bookkeeping, accounting, or legal services utilized in connection with a nonprofit raffle including, but not limited to, the registration fees and the required financial reports;</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(12)</w:t>
      </w:r>
      <w:r w:rsidRPr="00DB1E50">
        <w:rPr>
          <w:rFonts w:cs="Times New Roman"/>
          <w:color w:val="000000" w:themeColor="text1"/>
          <w:u w:color="000000" w:themeColor="text1"/>
        </w:rPr>
        <w:tab/>
        <w:t>permit costs, fees, or taxes required by local or state government to conduct and operate a nonprofit raffle; and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(13)</w:t>
      </w:r>
      <w:r w:rsidRPr="00DB1E50">
        <w:rPr>
          <w:rFonts w:cs="Times New Roman"/>
          <w:color w:val="000000" w:themeColor="text1"/>
          <w:u w:color="000000" w:themeColor="text1"/>
        </w:rPr>
        <w:tab/>
        <w:t>janitorial services and supplies incurred in conducting or operating a nonprofit raffle.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(C)</w:t>
      </w:r>
      <w:r w:rsidRPr="00DB1E50">
        <w:rPr>
          <w:rFonts w:cs="Times New Roman"/>
          <w:color w:val="000000" w:themeColor="text1"/>
          <w:u w:color="000000" w:themeColor="text1"/>
        </w:rPr>
        <w:tab/>
        <w:t>A report shall be submitted annually to the secretary no later than the fifteenth day of the fifth month after the end of the nonprofit organization</w:t>
      </w:r>
      <w:r w:rsidRPr="005500FB">
        <w:rPr>
          <w:rFonts w:cs="Times New Roman"/>
          <w:color w:val="000000" w:themeColor="text1"/>
          <w:u w:color="000000" w:themeColor="text1"/>
        </w:rPr>
        <w:t>’</w:t>
      </w:r>
      <w:r w:rsidRPr="00DB1E50">
        <w:rPr>
          <w:rFonts w:cs="Times New Roman"/>
          <w:color w:val="000000" w:themeColor="text1"/>
          <w:u w:color="000000" w:themeColor="text1"/>
        </w:rPr>
        <w:t>s fiscal year. The report must be signed under penalty of perjury and must contain the following information for each raffle conducted within the preceding year:</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w:t>
      </w:r>
      <w:r w:rsidRPr="00DB1E50">
        <w:rPr>
          <w:rFonts w:cs="Times New Roman"/>
          <w:color w:val="000000" w:themeColor="text1"/>
          <w:u w:color="000000" w:themeColor="text1"/>
        </w:rPr>
        <w:tab/>
        <w:t>the amount of the gross receipts;</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r>
      <w:r w:rsidRPr="00DB1E50">
        <w:rPr>
          <w:rFonts w:cs="Times New Roman"/>
          <w:color w:val="000000" w:themeColor="text1"/>
          <w:u w:color="000000" w:themeColor="text1"/>
        </w:rPr>
        <w:t>the amount of adjusted gross receipts;</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r>
      <w:r w:rsidRPr="00DB1E50">
        <w:rPr>
          <w:rFonts w:cs="Times New Roman"/>
          <w:color w:val="000000" w:themeColor="text1"/>
          <w:u w:color="000000" w:themeColor="text1"/>
        </w:rPr>
        <w:t>the total amount of expenses incurred in conducting the raffle;</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(4)</w:t>
      </w:r>
      <w:r w:rsidRPr="00DB1E50">
        <w:rPr>
          <w:rFonts w:cs="Times New Roman"/>
          <w:color w:val="000000" w:themeColor="text1"/>
          <w:u w:color="000000" w:themeColor="text1"/>
        </w:rPr>
        <w:tab/>
        <w:t>the amount of the net receipts;</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(5)</w:t>
      </w:r>
      <w:r>
        <w:rPr>
          <w:rFonts w:cs="Times New Roman"/>
          <w:color w:val="000000" w:themeColor="text1"/>
          <w:u w:color="000000" w:themeColor="text1"/>
        </w:rPr>
        <w:tab/>
      </w:r>
      <w:r w:rsidRPr="00DB1E50">
        <w:rPr>
          <w:rFonts w:cs="Times New Roman"/>
          <w:color w:val="000000" w:themeColor="text1"/>
          <w:u w:color="000000" w:themeColor="text1"/>
        </w:rPr>
        <w:t>the total value of cash prizes awarded;</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(6)</w:t>
      </w:r>
      <w:r>
        <w:rPr>
          <w:rFonts w:cs="Times New Roman"/>
          <w:color w:val="000000" w:themeColor="text1"/>
          <w:u w:color="000000" w:themeColor="text1"/>
        </w:rPr>
        <w:tab/>
      </w:r>
      <w:r w:rsidRPr="00DB1E50">
        <w:rPr>
          <w:rFonts w:cs="Times New Roman"/>
          <w:color w:val="000000" w:themeColor="text1"/>
          <w:u w:color="000000" w:themeColor="text1"/>
        </w:rPr>
        <w:t>the total value of noncash prizes awarded; and</w:t>
      </w:r>
    </w:p>
    <w:p w:rsidR="006B2126" w:rsidRPr="00DB1E50" w:rsidRDefault="006B2126" w:rsidP="006B2126">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(7)</w:t>
      </w:r>
      <w:r w:rsidRPr="00DB1E50">
        <w:rPr>
          <w:rFonts w:cs="Times New Roman"/>
          <w:color w:val="000000" w:themeColor="text1"/>
          <w:u w:color="000000" w:themeColor="text1"/>
        </w:rPr>
        <w:tab/>
        <w:t>the number of tickets sold.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(D)</w:t>
      </w:r>
      <w:r w:rsidRPr="00DB1E50">
        <w:rPr>
          <w:rFonts w:cs="Times New Roman"/>
          <w:color w:val="000000" w:themeColor="text1"/>
          <w:u w:color="000000" w:themeColor="text1"/>
        </w:rPr>
        <w:tab/>
        <w:t>A nonprofit organization that has affiliates or subsidiaries that are registered to conduct raffles pursuant to the provisions of this chapter may submit a single report that contains all of the required information for each raffle conducted by the affiliate or subsidiary to the secretary provided that the report is submitted in a format authorized by the secretary.</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(E)</w:t>
      </w:r>
      <w:r w:rsidRPr="00DB1E50">
        <w:rPr>
          <w:rFonts w:cs="Times New Roman"/>
          <w:color w:val="000000" w:themeColor="text1"/>
          <w:u w:color="000000" w:themeColor="text1"/>
        </w:rPr>
        <w:tab/>
        <w:t xml:space="preserve">Records required by this chapter shall be preserved for three years, and organizations shall make available their records relating to operations of raffles at any time at the request of a member of the organization, or investigators from the secretary or from law </w:t>
      </w:r>
      <w:r w:rsidRPr="00DB1E50">
        <w:rPr>
          <w:rFonts w:cs="Times New Roman"/>
          <w:color w:val="000000" w:themeColor="text1"/>
          <w:u w:color="000000" w:themeColor="text1"/>
        </w:rPr>
        <w:lastRenderedPageBreak/>
        <w:t>enforcement. For each raffle conducted, the nonprofit organization must maintain records of the following information:</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(1)</w:t>
      </w:r>
      <w:r w:rsidRPr="00DB1E50">
        <w:rPr>
          <w:rFonts w:cs="Times New Roman"/>
          <w:color w:val="000000" w:themeColor="text1"/>
          <w:u w:color="000000" w:themeColor="text1"/>
        </w:rPr>
        <w:tab/>
        <w:t xml:space="preserve">a list of prizes offered and given with an estimate of their respective values; </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(2)</w:t>
      </w:r>
      <w:r w:rsidRPr="00DB1E50">
        <w:rPr>
          <w:rFonts w:cs="Times New Roman"/>
          <w:color w:val="000000" w:themeColor="text1"/>
          <w:u w:color="000000" w:themeColor="text1"/>
        </w:rPr>
        <w:tab/>
        <w:t>an itemized list of expenses incurred or paid, including the name of each person, company, or governmental entity to whom an expense was paid;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(3)</w:t>
      </w:r>
      <w:r w:rsidRPr="00DB1E50">
        <w:rPr>
          <w:rFonts w:cs="Times New Roman"/>
          <w:color w:val="000000" w:themeColor="text1"/>
          <w:u w:color="000000" w:themeColor="text1"/>
        </w:rPr>
        <w:tab/>
        <w:t xml:space="preserve">each item of an expenditure made or to be made, with a detailed description of the merchandise purchased or the services rendered, and the name of each person, company, or governmental entity to whom the expenditure is to be made; and </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r>
      <w:r w:rsidRPr="00DB1E50">
        <w:rPr>
          <w:rFonts w:cs="Times New Roman"/>
          <w:color w:val="000000" w:themeColor="text1"/>
          <w:u w:color="000000" w:themeColor="text1"/>
        </w:rPr>
        <w:tab/>
        <w:t>(4)</w:t>
      </w:r>
      <w:r w:rsidRPr="00DB1E50">
        <w:rPr>
          <w:rFonts w:cs="Times New Roman"/>
          <w:color w:val="000000" w:themeColor="text1"/>
          <w:u w:color="000000" w:themeColor="text1"/>
        </w:rPr>
        <w:tab/>
        <w:t>the use to which the net receipts have been applied.</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B1E50">
        <w:rPr>
          <w:rFonts w:cs="Times New Roman"/>
          <w:color w:val="000000" w:themeColor="text1"/>
          <w:u w:color="000000" w:themeColor="text1"/>
        </w:rPr>
        <w:tab/>
        <w:t>(F)</w:t>
      </w:r>
      <w:r w:rsidRPr="00DB1E50">
        <w:rPr>
          <w:rFonts w:cs="Times New Roman"/>
          <w:color w:val="000000" w:themeColor="text1"/>
          <w:u w:color="000000" w:themeColor="text1"/>
        </w:rPr>
        <w:tab/>
        <w:t>No new registration shall be issued to an organization that fails to file its report as required by this section until all reports are filed, and the secretary has confirmed that the information in the reports is in compliance with the provisions of this chapter. An organization that fails to file a timely annual report required by this section may be assessed by the secretary administrative fines of ten dollars for each day of noncompliance for each delinquent report not to exceed two thousand dollars for each separate violation. In addition to the assessed fines, the secretary may revoke an organization</w:t>
      </w:r>
      <w:r w:rsidRPr="005500FB">
        <w:rPr>
          <w:rFonts w:cs="Times New Roman"/>
          <w:color w:val="000000" w:themeColor="text1"/>
          <w:u w:color="000000" w:themeColor="text1"/>
        </w:rPr>
        <w:t>’</w:t>
      </w:r>
      <w:r w:rsidRPr="00DB1E50">
        <w:rPr>
          <w:rFonts w:cs="Times New Roman"/>
          <w:color w:val="000000" w:themeColor="text1"/>
          <w:u w:color="000000" w:themeColor="text1"/>
        </w:rPr>
        <w:t>s registration for failure to file an annual report and bring an action before an administrative law judge to enjoin the organization from conducting raffles until the required reports are filed with the secretary.”</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772688"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DB1E50" w:rsidRDefault="006B2126" w:rsidP="006B2126">
      <w:pPr>
        <w:tabs>
          <w:tab w:val="left" w:pos="216"/>
          <w:tab w:val="left" w:pos="432"/>
          <w:tab w:val="left" w:pos="648"/>
          <w:tab w:val="left" w:pos="864"/>
          <w:tab w:val="left" w:pos="108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3.</w:t>
      </w:r>
      <w:r>
        <w:rPr>
          <w:rFonts w:cs="Times New Roman"/>
          <w:u w:color="000000" w:themeColor="text1"/>
        </w:rPr>
        <w:tab/>
        <w:t xml:space="preserve">A. </w:t>
      </w:r>
      <w:r w:rsidRPr="00DB1E50">
        <w:rPr>
          <w:rFonts w:cs="Times New Roman"/>
          <w:u w:color="000000" w:themeColor="text1"/>
        </w:rPr>
        <w:t>Section 33</w:t>
      </w:r>
      <w:r>
        <w:rPr>
          <w:rFonts w:cs="Times New Roman"/>
          <w:u w:color="000000" w:themeColor="text1"/>
        </w:rPr>
        <w:noBreakHyphen/>
      </w:r>
      <w:r w:rsidRPr="00DB1E50">
        <w:rPr>
          <w:rFonts w:cs="Times New Roman"/>
          <w:u w:color="000000" w:themeColor="text1"/>
        </w:rPr>
        <w:t>57</w:t>
      </w:r>
      <w:r>
        <w:rPr>
          <w:rFonts w:cs="Times New Roman"/>
          <w:u w:color="000000" w:themeColor="text1"/>
        </w:rPr>
        <w:noBreakHyphen/>
      </w:r>
      <w:r w:rsidRPr="00DB1E50">
        <w:rPr>
          <w:rFonts w:cs="Times New Roman"/>
          <w:u w:color="000000" w:themeColor="text1"/>
        </w:rPr>
        <w:t>200 of the 1976 Code is repealed.</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B2126" w:rsidRPr="00DB1E50" w:rsidRDefault="006B2126" w:rsidP="006B2126">
      <w:pPr>
        <w:tabs>
          <w:tab w:val="left" w:pos="27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B1E50">
        <w:rPr>
          <w:rFonts w:cs="Times New Roman"/>
          <w:u w:color="000000" w:themeColor="text1"/>
        </w:rPr>
        <w:t>B.</w:t>
      </w:r>
      <w:r w:rsidRPr="00DB1E50">
        <w:rPr>
          <w:rFonts w:cs="Times New Roman"/>
          <w:u w:color="000000" w:themeColor="text1"/>
        </w:rPr>
        <w:tab/>
        <w:t>This SECTION takes effect upon approval by the Governor. The provisions of Chapter 57, Title 33 of the 1976 Code, as they existed on June 30, 2020, are reenacted. The reenactment discharges, releases, and extinguishes any penalty, forfeiture, or liability incurred after July 1, 2020, but before the effective date of this SECTION. This SECTION shall continue to apply until such time as Chapter 57, Title 33, or parts thereof, are otherwise repealed, mutatis mutandis.</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772688"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126" w:rsidRPr="00DB1E50"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1E50">
        <w:rPr>
          <w:rFonts w:cs="Times New Roman"/>
          <w:color w:val="000000" w:themeColor="text1"/>
          <w:u w:color="000000" w:themeColor="text1"/>
        </w:rPr>
        <w:t>SECTION</w:t>
      </w:r>
      <w:r w:rsidRPr="00DB1E50">
        <w:rPr>
          <w:rFonts w:cs="Times New Roman"/>
          <w:color w:val="000000" w:themeColor="text1"/>
          <w:u w:color="000000" w:themeColor="text1"/>
        </w:rPr>
        <w:tab/>
        <w:t>4.</w:t>
      </w:r>
      <w:r w:rsidRPr="00DB1E50">
        <w:rPr>
          <w:rFonts w:cs="Times New Roman"/>
          <w:color w:val="000000" w:themeColor="text1"/>
          <w:u w:color="000000" w:themeColor="text1"/>
        </w:rPr>
        <w:tab/>
        <w:t>This act takes effect upon approval by the Governor.</w:t>
      </w: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B2126" w:rsidRDefault="006B2126"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6B2126" w:rsidRDefault="006B2126" w:rsidP="006B2126">
      <w:pPr>
        <w:jc w:val="both"/>
        <w:rPr>
          <w:color w:val="000000" w:themeColor="text1"/>
        </w:rPr>
      </w:pPr>
    </w:p>
    <w:p w:rsidR="006B2126" w:rsidRDefault="006B2126" w:rsidP="006B2126">
      <w:pPr>
        <w:jc w:val="both"/>
        <w:rPr>
          <w:color w:val="000000" w:themeColor="text1"/>
        </w:rPr>
      </w:pPr>
      <w:r>
        <w:rPr>
          <w:color w:val="000000" w:themeColor="text1"/>
        </w:rPr>
        <w:lastRenderedPageBreak/>
        <w:t>Approved the 28</w:t>
      </w:r>
      <w:r w:rsidRPr="00CC4C4C">
        <w:rPr>
          <w:color w:val="000000" w:themeColor="text1"/>
          <w:vertAlign w:val="superscript"/>
        </w:rPr>
        <w:t>th</w:t>
      </w:r>
      <w:r>
        <w:rPr>
          <w:color w:val="000000" w:themeColor="text1"/>
        </w:rPr>
        <w:t xml:space="preserve"> day of September, 2020. </w:t>
      </w:r>
    </w:p>
    <w:p w:rsidR="006B2126" w:rsidRDefault="006B2126" w:rsidP="006B2126">
      <w:pPr>
        <w:jc w:val="center"/>
        <w:rPr>
          <w:color w:val="000000" w:themeColor="text1"/>
        </w:rPr>
      </w:pPr>
    </w:p>
    <w:p w:rsidR="006B2126" w:rsidRDefault="006B2126" w:rsidP="006B2126">
      <w:pPr>
        <w:jc w:val="center"/>
        <w:rPr>
          <w:color w:val="000000" w:themeColor="text1"/>
        </w:rPr>
      </w:pPr>
      <w:r>
        <w:rPr>
          <w:color w:val="000000" w:themeColor="text1"/>
        </w:rPr>
        <w:t>__________</w:t>
      </w:r>
    </w:p>
    <w:p w:rsidR="005A7240" w:rsidRPr="002301E3" w:rsidRDefault="005A7240" w:rsidP="006B2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7240" w:rsidRPr="002301E3" w:rsidSect="005A7240">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27" w:rsidRDefault="000B7527" w:rsidP="007D5FAC">
      <w:r>
        <w:separator/>
      </w:r>
    </w:p>
  </w:endnote>
  <w:endnote w:type="continuationSeparator" w:id="0">
    <w:p w:rsidR="000B7527" w:rsidRDefault="000B75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40" w:rsidRPr="005A7240" w:rsidRDefault="005A7240" w:rsidP="005A72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4DA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240" w:rsidRDefault="005A7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27" w:rsidRDefault="000B7527" w:rsidP="007D5FAC">
      <w:r>
        <w:separator/>
      </w:r>
    </w:p>
  </w:footnote>
  <w:footnote w:type="continuationSeparator" w:id="0">
    <w:p w:rsidR="000B7527" w:rsidRDefault="000B75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719"/>
    <w:docVar w:name="ActSecretary" w:val="Charlton"/>
    <w:docVar w:name="ActSIdno" w:val="(164)  719CZ20"/>
    <w:docVar w:name="clipname" w:val="719CZ20"/>
    <w:docVar w:name="dvBillNumber" w:val="719"/>
    <w:docVar w:name="dvBillNumberPrefix" w:val="S"/>
    <w:docVar w:name="dvOriginalBody" w:val="Senate"/>
    <w:docVar w:name="OrigSENATEBillNo" w:val="719"/>
    <w:docVar w:name="SENATEACTFULLPATH" w:val="L:\COUNCIL\ACTS\719CZ20.DOCX"/>
    <w:docVar w:name="WhatActtype" w:val="AN ACT"/>
  </w:docVars>
  <w:rsids>
    <w:rsidRoot w:val="000B7527"/>
    <w:rsid w:val="00002DE0"/>
    <w:rsid w:val="00017F29"/>
    <w:rsid w:val="00020349"/>
    <w:rsid w:val="00021B0B"/>
    <w:rsid w:val="00030487"/>
    <w:rsid w:val="0003438E"/>
    <w:rsid w:val="00040C05"/>
    <w:rsid w:val="0004579B"/>
    <w:rsid w:val="00051B4F"/>
    <w:rsid w:val="00055653"/>
    <w:rsid w:val="000665CB"/>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B7527"/>
    <w:rsid w:val="000C450F"/>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25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AD8"/>
    <w:rsid w:val="00212CD6"/>
    <w:rsid w:val="00215235"/>
    <w:rsid w:val="00223E0F"/>
    <w:rsid w:val="002301E3"/>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6ED9"/>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64A"/>
    <w:rsid w:val="0039655A"/>
    <w:rsid w:val="00396C58"/>
    <w:rsid w:val="003A6D96"/>
    <w:rsid w:val="003A7517"/>
    <w:rsid w:val="003B1A01"/>
    <w:rsid w:val="003B2E6E"/>
    <w:rsid w:val="003B355D"/>
    <w:rsid w:val="003B6BB7"/>
    <w:rsid w:val="003B746E"/>
    <w:rsid w:val="003C030C"/>
    <w:rsid w:val="003C0AE8"/>
    <w:rsid w:val="003D2A73"/>
    <w:rsid w:val="00400828"/>
    <w:rsid w:val="00410BC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2B60"/>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2BB"/>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00FB"/>
    <w:rsid w:val="005515CE"/>
    <w:rsid w:val="00556774"/>
    <w:rsid w:val="00556D79"/>
    <w:rsid w:val="00560EBF"/>
    <w:rsid w:val="005627E7"/>
    <w:rsid w:val="00562952"/>
    <w:rsid w:val="005672F0"/>
    <w:rsid w:val="005741F9"/>
    <w:rsid w:val="005839FC"/>
    <w:rsid w:val="00583CB3"/>
    <w:rsid w:val="005859EE"/>
    <w:rsid w:val="00590D1D"/>
    <w:rsid w:val="00591D7C"/>
    <w:rsid w:val="005936A3"/>
    <w:rsid w:val="00594D39"/>
    <w:rsid w:val="005A1FF2"/>
    <w:rsid w:val="005A286C"/>
    <w:rsid w:val="005A7240"/>
    <w:rsid w:val="005A7D5F"/>
    <w:rsid w:val="005B2750"/>
    <w:rsid w:val="005B2DD9"/>
    <w:rsid w:val="005B3E85"/>
    <w:rsid w:val="005B4A54"/>
    <w:rsid w:val="005B4DB1"/>
    <w:rsid w:val="005C4B9E"/>
    <w:rsid w:val="005C5915"/>
    <w:rsid w:val="005D2606"/>
    <w:rsid w:val="005D50CE"/>
    <w:rsid w:val="005D5723"/>
    <w:rsid w:val="005D6054"/>
    <w:rsid w:val="005E07AD"/>
    <w:rsid w:val="005E36AC"/>
    <w:rsid w:val="005F1A8F"/>
    <w:rsid w:val="005F7694"/>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FB8"/>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126"/>
    <w:rsid w:val="006B263A"/>
    <w:rsid w:val="006B4FA6"/>
    <w:rsid w:val="006C7535"/>
    <w:rsid w:val="006C7D00"/>
    <w:rsid w:val="006C7DDE"/>
    <w:rsid w:val="006F22C0"/>
    <w:rsid w:val="006F290C"/>
    <w:rsid w:val="006F2D36"/>
    <w:rsid w:val="007009F2"/>
    <w:rsid w:val="0070193C"/>
    <w:rsid w:val="00704FF9"/>
    <w:rsid w:val="007052EC"/>
    <w:rsid w:val="00707063"/>
    <w:rsid w:val="007127A6"/>
    <w:rsid w:val="007257FC"/>
    <w:rsid w:val="00727281"/>
    <w:rsid w:val="00731C9E"/>
    <w:rsid w:val="00734C77"/>
    <w:rsid w:val="00737039"/>
    <w:rsid w:val="007373C7"/>
    <w:rsid w:val="007469F9"/>
    <w:rsid w:val="0074783A"/>
    <w:rsid w:val="007514EF"/>
    <w:rsid w:val="00754D61"/>
    <w:rsid w:val="00764BFB"/>
    <w:rsid w:val="00765D0A"/>
    <w:rsid w:val="007664A2"/>
    <w:rsid w:val="00772688"/>
    <w:rsid w:val="007746C2"/>
    <w:rsid w:val="00775216"/>
    <w:rsid w:val="00775B87"/>
    <w:rsid w:val="00784A23"/>
    <w:rsid w:val="007946C3"/>
    <w:rsid w:val="00796EAF"/>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56558"/>
    <w:rsid w:val="00860CD2"/>
    <w:rsid w:val="00865315"/>
    <w:rsid w:val="00865A3F"/>
    <w:rsid w:val="008674BA"/>
    <w:rsid w:val="00870435"/>
    <w:rsid w:val="008733F2"/>
    <w:rsid w:val="008746A0"/>
    <w:rsid w:val="00875B4B"/>
    <w:rsid w:val="00877295"/>
    <w:rsid w:val="008836A5"/>
    <w:rsid w:val="00887C8D"/>
    <w:rsid w:val="00892AF7"/>
    <w:rsid w:val="008930E0"/>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1AD"/>
    <w:rsid w:val="0092121C"/>
    <w:rsid w:val="009218CD"/>
    <w:rsid w:val="00934DAB"/>
    <w:rsid w:val="00937AF4"/>
    <w:rsid w:val="00940A90"/>
    <w:rsid w:val="009410C0"/>
    <w:rsid w:val="00947070"/>
    <w:rsid w:val="00953BF7"/>
    <w:rsid w:val="009560AB"/>
    <w:rsid w:val="009631DC"/>
    <w:rsid w:val="009670BA"/>
    <w:rsid w:val="009711BA"/>
    <w:rsid w:val="00971351"/>
    <w:rsid w:val="0097332E"/>
    <w:rsid w:val="00974FD7"/>
    <w:rsid w:val="00976D43"/>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3275"/>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0C26"/>
    <w:rsid w:val="00B11270"/>
    <w:rsid w:val="00B12572"/>
    <w:rsid w:val="00B303AC"/>
    <w:rsid w:val="00B374C4"/>
    <w:rsid w:val="00B408FD"/>
    <w:rsid w:val="00B417DE"/>
    <w:rsid w:val="00B4797F"/>
    <w:rsid w:val="00B516BA"/>
    <w:rsid w:val="00B520A2"/>
    <w:rsid w:val="00B5578A"/>
    <w:rsid w:val="00B62CAB"/>
    <w:rsid w:val="00B72564"/>
    <w:rsid w:val="00B72ED3"/>
    <w:rsid w:val="00B73571"/>
    <w:rsid w:val="00B74177"/>
    <w:rsid w:val="00B80A34"/>
    <w:rsid w:val="00B83DA1"/>
    <w:rsid w:val="00B846E9"/>
    <w:rsid w:val="00B92BEA"/>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5237"/>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90D"/>
    <w:rsid w:val="00F44E35"/>
    <w:rsid w:val="00F509CF"/>
    <w:rsid w:val="00F51775"/>
    <w:rsid w:val="00F54582"/>
    <w:rsid w:val="00F61884"/>
    <w:rsid w:val="00F627EF"/>
    <w:rsid w:val="00F669CB"/>
    <w:rsid w:val="00F66E0E"/>
    <w:rsid w:val="00F721C4"/>
    <w:rsid w:val="00F7296A"/>
    <w:rsid w:val="00F86999"/>
    <w:rsid w:val="00FA1013"/>
    <w:rsid w:val="00FA30A1"/>
    <w:rsid w:val="00FA4E59"/>
    <w:rsid w:val="00FA7E14"/>
    <w:rsid w:val="00FB1A6A"/>
    <w:rsid w:val="00FB471B"/>
    <w:rsid w:val="00FC380D"/>
    <w:rsid w:val="00FD434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5D5042B-070B-4F1E-85E0-78AA3619B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A72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54D6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A72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21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304.docx" TargetMode="External"/><Relationship Id="rId13" Type="http://schemas.openxmlformats.org/officeDocument/2006/relationships/hyperlink" Target="file:///h:\hj\20200319.docx" TargetMode="External"/><Relationship Id="rId18" Type="http://schemas.openxmlformats.org/officeDocument/2006/relationships/hyperlink" Target="file:///h:\hj\20200916.docx" TargetMode="External"/><Relationship Id="rId26" Type="http://schemas.openxmlformats.org/officeDocument/2006/relationships/hyperlink" Target="file:///p:\pprever\2019-20\719_20190328.docx" TargetMode="External"/><Relationship Id="rId3" Type="http://schemas.openxmlformats.org/officeDocument/2006/relationships/webSettings" Target="webSettings.xml"/><Relationship Id="rId21" Type="http://schemas.openxmlformats.org/officeDocument/2006/relationships/hyperlink" Target="file:///h:\hj\20200922.docx" TargetMode="External"/><Relationship Id="rId34" Type="http://schemas.openxmlformats.org/officeDocument/2006/relationships/footer" Target="footer1.xml"/><Relationship Id="rId7" Type="http://schemas.openxmlformats.org/officeDocument/2006/relationships/hyperlink" Target="file:///h:\sj\20190328.docx" TargetMode="External"/><Relationship Id="rId12" Type="http://schemas.openxmlformats.org/officeDocument/2006/relationships/hyperlink" Target="file:///h:\sj\20200311.docx" TargetMode="External"/><Relationship Id="rId17" Type="http://schemas.openxmlformats.org/officeDocument/2006/relationships/hyperlink" Target="file:///h:\hj\20200916.docx" TargetMode="External"/><Relationship Id="rId25" Type="http://schemas.openxmlformats.org/officeDocument/2006/relationships/hyperlink" Target="http://www.scstatehouse.gov/billsearch.php?billnumbers=719&amp;session=123&amp;summary=B" TargetMode="External"/><Relationship Id="rId33" Type="http://schemas.openxmlformats.org/officeDocument/2006/relationships/hyperlink" Target="file:///p:\pprever\2019-20\719_20200922.docx" TargetMode="External"/><Relationship Id="rId2" Type="http://schemas.openxmlformats.org/officeDocument/2006/relationships/settings" Target="settings.xml"/><Relationship Id="rId16" Type="http://schemas.openxmlformats.org/officeDocument/2006/relationships/hyperlink" Target="file:///h:\hj\20200915.docx" TargetMode="External"/><Relationship Id="rId20" Type="http://schemas.openxmlformats.org/officeDocument/2006/relationships/hyperlink" Target="file:///h:\hj\20200916.docx" TargetMode="External"/><Relationship Id="rId29" Type="http://schemas.openxmlformats.org/officeDocument/2006/relationships/hyperlink" Target="file:///p:\pprever\2019-20\719_20200310.docx" TargetMode="External"/><Relationship Id="rId1" Type="http://schemas.openxmlformats.org/officeDocument/2006/relationships/styles" Target="styles.xml"/><Relationship Id="rId6" Type="http://schemas.openxmlformats.org/officeDocument/2006/relationships/hyperlink" Target="file:///h:\sj\20190328.docx" TargetMode="External"/><Relationship Id="rId11" Type="http://schemas.openxmlformats.org/officeDocument/2006/relationships/hyperlink" Target="file:///h:\sj\20200310.docx" TargetMode="External"/><Relationship Id="rId24" Type="http://schemas.openxmlformats.org/officeDocument/2006/relationships/hyperlink" Target="file:///h:\sj\20200922.docx" TargetMode="External"/><Relationship Id="rId32" Type="http://schemas.openxmlformats.org/officeDocument/2006/relationships/hyperlink" Target="file:///p:\pprever\2019-20\719_20200916.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00915.docx" TargetMode="External"/><Relationship Id="rId23" Type="http://schemas.openxmlformats.org/officeDocument/2006/relationships/hyperlink" Target="file:///h:\sj\20200922.docx" TargetMode="External"/><Relationship Id="rId28" Type="http://schemas.openxmlformats.org/officeDocument/2006/relationships/hyperlink" Target="file:///p:\pprever\2019-20\719_20200305.docx" TargetMode="External"/><Relationship Id="rId36" Type="http://schemas.openxmlformats.org/officeDocument/2006/relationships/fontTable" Target="fontTable.xml"/><Relationship Id="rId10" Type="http://schemas.openxmlformats.org/officeDocument/2006/relationships/hyperlink" Target="file:///h:\sj\20200310.docx" TargetMode="External"/><Relationship Id="rId19" Type="http://schemas.openxmlformats.org/officeDocument/2006/relationships/hyperlink" Target="file:///h:\hj\20200916.docx" TargetMode="External"/><Relationship Id="rId31" Type="http://schemas.openxmlformats.org/officeDocument/2006/relationships/hyperlink" Target="file:///p:\pprever\2019-20\719_20200512.docx" TargetMode="External"/><Relationship Id="rId4" Type="http://schemas.openxmlformats.org/officeDocument/2006/relationships/footnotes" Target="footnotes.xml"/><Relationship Id="rId9" Type="http://schemas.openxmlformats.org/officeDocument/2006/relationships/hyperlink" Target="file:///h:\sj\20200310.docx" TargetMode="External"/><Relationship Id="rId14" Type="http://schemas.openxmlformats.org/officeDocument/2006/relationships/hyperlink" Target="file:///h:\hj\20200319.docx" TargetMode="External"/><Relationship Id="rId22" Type="http://schemas.openxmlformats.org/officeDocument/2006/relationships/hyperlink" Target="file:///h:\sj\20200922.docx" TargetMode="External"/><Relationship Id="rId27" Type="http://schemas.openxmlformats.org/officeDocument/2006/relationships/hyperlink" Target="file:///p:\pprever\2019-20\719_20200304.docx" TargetMode="External"/><Relationship Id="rId30" Type="http://schemas.openxmlformats.org/officeDocument/2006/relationships/hyperlink" Target="file:///p:\pprever\2019-20\719_20200311.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F3BE904A</Template>
  <TotalTime>0</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719: Raffles - South Carolina Legislature Online</dc:title>
  <dc:subject/>
  <dc:creator>Chris Charlton</dc:creator>
  <cp:keywords/>
  <dc:description/>
  <cp:lastModifiedBy>Lavarres Lynch</cp:lastModifiedBy>
  <cp:revision>2</cp:revision>
  <cp:lastPrinted>2020-09-22T22:14:00Z</cp:lastPrinted>
  <dcterms:created xsi:type="dcterms:W3CDTF">2020-10-06T13:47:00Z</dcterms:created>
  <dcterms:modified xsi:type="dcterms:W3CDTF">2020-10-06T13:47:00Z</dcterms:modified>
</cp:coreProperties>
</file>