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0AA" w:rsidRDefault="001D40AA" w:rsidP="001D40AA">
      <w:pPr>
        <w:widowControl w:val="0"/>
        <w:jc w:val="center"/>
      </w:pPr>
      <w:r w:rsidRPr="001D40AA">
        <w:rPr>
          <w:b/>
        </w:rPr>
        <w:t>South Carolina General Assembly</w:t>
      </w:r>
    </w:p>
    <w:p w:rsidR="001D40AA" w:rsidRDefault="001D40AA" w:rsidP="001D40AA">
      <w:pPr>
        <w:widowControl w:val="0"/>
        <w:jc w:val="center"/>
      </w:pPr>
      <w:r>
        <w:t>123rd Session, 2019-2020</w:t>
      </w:r>
    </w:p>
    <w:p w:rsidR="001D40AA" w:rsidRDefault="001D40AA" w:rsidP="001D40AA">
      <w:pPr>
        <w:widowControl w:val="0"/>
      </w:pPr>
    </w:p>
    <w:p w:rsidR="001D40AA" w:rsidRDefault="001D40AA" w:rsidP="001D40AA">
      <w:pPr>
        <w:widowControl w:val="0"/>
        <w:rPr>
          <w:b/>
        </w:rPr>
      </w:pPr>
      <w:r w:rsidRPr="001D40AA">
        <w:rPr>
          <w:b/>
        </w:rPr>
        <w:t>S.</w:t>
      </w:r>
      <w:r>
        <w:rPr>
          <w:b/>
        </w:rPr>
        <w:t xml:space="preserve"> </w:t>
      </w:r>
      <w:r w:rsidRPr="001D40AA">
        <w:rPr>
          <w:b/>
        </w:rPr>
        <w:t>96</w:t>
      </w:r>
    </w:p>
    <w:p w:rsidR="001D40AA" w:rsidRDefault="001D40AA" w:rsidP="001D40AA">
      <w:pPr>
        <w:widowControl w:val="0"/>
        <w:rPr>
          <w:b/>
        </w:rPr>
      </w:pPr>
    </w:p>
    <w:p w:rsidR="001D40AA" w:rsidRDefault="001D40AA" w:rsidP="001D40AA">
      <w:pPr>
        <w:widowControl w:val="0"/>
      </w:pPr>
      <w:r w:rsidRPr="001D40AA">
        <w:rPr>
          <w:b/>
        </w:rPr>
        <w:t>STATUS INFORMATION</w:t>
      </w:r>
    </w:p>
    <w:p w:rsidR="001D40AA" w:rsidRDefault="001D40AA" w:rsidP="001D40AA">
      <w:pPr>
        <w:widowControl w:val="0"/>
      </w:pPr>
    </w:p>
    <w:p w:rsidR="001D40AA" w:rsidRDefault="001D40AA" w:rsidP="001D40AA">
      <w:pPr>
        <w:widowControl w:val="0"/>
      </w:pPr>
      <w:r>
        <w:t>General Bill</w:t>
      </w:r>
    </w:p>
    <w:p w:rsidR="001D40AA" w:rsidRDefault="001D40AA" w:rsidP="001D40AA">
      <w:pPr>
        <w:widowControl w:val="0"/>
      </w:pPr>
      <w:r>
        <w:t>Sponsors: Senator Campsen</w:t>
      </w:r>
    </w:p>
    <w:p w:rsidR="001D40AA" w:rsidRDefault="001D40AA" w:rsidP="001D40AA">
      <w:pPr>
        <w:widowControl w:val="0"/>
      </w:pPr>
      <w:r>
        <w:t>Document Path: l:\s-res\gec\013home.kmm.gec.docx</w:t>
      </w:r>
    </w:p>
    <w:p w:rsidR="001D40AA" w:rsidRDefault="001D40AA" w:rsidP="001D40AA">
      <w:pPr>
        <w:widowControl w:val="0"/>
      </w:pPr>
    </w:p>
    <w:p w:rsidR="00627597" w:rsidRDefault="00627597" w:rsidP="001D40AA">
      <w:pPr>
        <w:widowControl w:val="0"/>
      </w:pPr>
      <w:r>
        <w:t>Introduced in the Senate on January 8, 2019</w:t>
      </w:r>
    </w:p>
    <w:p w:rsidR="00627597" w:rsidRPr="00627597" w:rsidRDefault="00627597" w:rsidP="001D40AA">
      <w:pPr>
        <w:widowControl w:val="0"/>
      </w:pPr>
      <w:r>
        <w:t xml:space="preserve">Currently residing in the Senate Committee on </w:t>
      </w:r>
      <w:r w:rsidRPr="00627597">
        <w:rPr>
          <w:b/>
        </w:rPr>
        <w:t>Judiciary</w:t>
      </w:r>
    </w:p>
    <w:p w:rsidR="00627597" w:rsidRDefault="00627597" w:rsidP="001D40AA">
      <w:pPr>
        <w:widowControl w:val="0"/>
      </w:pPr>
    </w:p>
    <w:p w:rsidR="001D40AA" w:rsidRDefault="001D40AA" w:rsidP="001D40AA">
      <w:pPr>
        <w:widowControl w:val="0"/>
      </w:pPr>
      <w:r>
        <w:t xml:space="preserve">Summary: </w:t>
      </w:r>
      <w:r w:rsidR="00E12A18">
        <w:t>Home Invasion Protection Act</w:t>
      </w:r>
    </w:p>
    <w:p w:rsidR="001D40AA" w:rsidRDefault="001D40AA" w:rsidP="001D40AA">
      <w:pPr>
        <w:widowControl w:val="0"/>
      </w:pPr>
    </w:p>
    <w:p w:rsidR="001D40AA" w:rsidRDefault="001D40AA" w:rsidP="001D40AA">
      <w:pPr>
        <w:widowControl w:val="0"/>
      </w:pPr>
    </w:p>
    <w:p w:rsidR="001D40AA" w:rsidRDefault="001D40AA" w:rsidP="001D40AA">
      <w:pPr>
        <w:widowControl w:val="0"/>
        <w:tabs>
          <w:tab w:val="center" w:pos="590"/>
          <w:tab w:val="center" w:pos="1440"/>
          <w:tab w:val="left" w:pos="1872"/>
          <w:tab w:val="left" w:pos="9187"/>
        </w:tabs>
      </w:pPr>
      <w:r w:rsidRPr="001D40AA">
        <w:rPr>
          <w:b/>
        </w:rPr>
        <w:t>HISTORY OF LEGISLATIVE ACTIONS</w:t>
      </w:r>
    </w:p>
    <w:p w:rsidR="001D40AA" w:rsidRDefault="001D40AA" w:rsidP="001D40AA">
      <w:pPr>
        <w:widowControl w:val="0"/>
        <w:tabs>
          <w:tab w:val="center" w:pos="590"/>
          <w:tab w:val="center" w:pos="1440"/>
          <w:tab w:val="left" w:pos="1872"/>
          <w:tab w:val="left" w:pos="9187"/>
        </w:tabs>
      </w:pPr>
    </w:p>
    <w:p w:rsidR="001D40AA" w:rsidRPr="001D40AA" w:rsidRDefault="001D40AA" w:rsidP="001D40AA">
      <w:pPr>
        <w:widowControl w:val="0"/>
        <w:tabs>
          <w:tab w:val="center" w:pos="590"/>
          <w:tab w:val="center" w:pos="1440"/>
          <w:tab w:val="left" w:pos="1872"/>
          <w:tab w:val="left" w:pos="9187"/>
        </w:tabs>
      </w:pPr>
      <w:r w:rsidRPr="001D40AA">
        <w:rPr>
          <w:u w:val="single"/>
        </w:rPr>
        <w:tab/>
        <w:t>Date</w:t>
      </w:r>
      <w:r w:rsidRPr="001D40AA">
        <w:rPr>
          <w:u w:val="single"/>
        </w:rPr>
        <w:tab/>
        <w:t>Body</w:t>
      </w:r>
      <w:r w:rsidRPr="001D40AA">
        <w:rPr>
          <w:u w:val="single"/>
        </w:rPr>
        <w:tab/>
        <w:t>Action Description with journal page number</w:t>
      </w:r>
      <w:r w:rsidRPr="001D40AA">
        <w:rPr>
          <w:u w:val="single"/>
        </w:rPr>
        <w:tab/>
      </w:r>
    </w:p>
    <w:p w:rsidR="008E2C7F" w:rsidRDefault="008E2C7F" w:rsidP="008E2C7F">
      <w:pPr>
        <w:widowControl w:val="0"/>
        <w:tabs>
          <w:tab w:val="right" w:pos="1008"/>
          <w:tab w:val="left" w:pos="1152"/>
          <w:tab w:val="left" w:pos="1872"/>
          <w:tab w:val="left" w:pos="9187"/>
        </w:tabs>
        <w:ind w:left="2088" w:hanging="2088"/>
      </w:pPr>
      <w:r>
        <w:tab/>
        <w:t>12/12/2018</w:t>
      </w:r>
      <w:r>
        <w:tab/>
        <w:t>Senate</w:t>
      </w:r>
      <w:r>
        <w:tab/>
      </w:r>
      <w:r w:rsidRPr="00C85326">
        <w:t>Prefiled</w:t>
      </w:r>
    </w:p>
    <w:p w:rsidR="008E2C7F" w:rsidRDefault="008E2C7F" w:rsidP="008E2C7F">
      <w:pPr>
        <w:widowControl w:val="0"/>
        <w:tabs>
          <w:tab w:val="right" w:pos="1008"/>
          <w:tab w:val="left" w:pos="1152"/>
          <w:tab w:val="left" w:pos="1872"/>
          <w:tab w:val="left" w:pos="9187"/>
        </w:tabs>
        <w:ind w:left="2088" w:hanging="2088"/>
      </w:pPr>
      <w:r>
        <w:tab/>
        <w:t>12/12/2018</w:t>
      </w:r>
      <w:r>
        <w:tab/>
        <w:t>Senate</w:t>
      </w:r>
      <w:r>
        <w:tab/>
      </w:r>
      <w:r w:rsidRPr="00C85326">
        <w:t xml:space="preserve">Referred to Committee on </w:t>
      </w:r>
      <w:r w:rsidRPr="00C85326">
        <w:rPr>
          <w:b/>
        </w:rPr>
        <w:t>Judiciary</w:t>
      </w:r>
    </w:p>
    <w:p w:rsidR="008E2C7F" w:rsidRDefault="008E2C7F" w:rsidP="008E2C7F">
      <w:pPr>
        <w:widowControl w:val="0"/>
        <w:tabs>
          <w:tab w:val="right" w:pos="1008"/>
          <w:tab w:val="left" w:pos="1152"/>
          <w:tab w:val="left" w:pos="1872"/>
          <w:tab w:val="left" w:pos="9187"/>
        </w:tabs>
        <w:ind w:left="2088" w:hanging="2088"/>
      </w:pPr>
      <w:r>
        <w:tab/>
        <w:t>1/8/2019</w:t>
      </w:r>
      <w:r>
        <w:tab/>
        <w:t>Senate</w:t>
      </w:r>
      <w:r>
        <w:tab/>
      </w:r>
      <w:r w:rsidRPr="00C85326">
        <w:t>Introduced and read first time (</w:t>
      </w:r>
      <w:hyperlink r:id="rId6" w:history="1">
        <w:r w:rsidRPr="00C85326">
          <w:rPr>
            <w:rStyle w:val="Hyperlink"/>
          </w:rPr>
          <w:t>Senate Journal</w:t>
        </w:r>
        <w:r w:rsidRPr="00C85326">
          <w:rPr>
            <w:rStyle w:val="Hyperlink"/>
          </w:rPr>
          <w:noBreakHyphen/>
          <w:t>page 85</w:t>
        </w:r>
      </w:hyperlink>
      <w:r w:rsidRPr="00C85326">
        <w:t>)</w:t>
      </w:r>
    </w:p>
    <w:p w:rsidR="008E2C7F" w:rsidRDefault="008E2C7F" w:rsidP="008E2C7F">
      <w:pPr>
        <w:widowControl w:val="0"/>
        <w:tabs>
          <w:tab w:val="right" w:pos="1008"/>
          <w:tab w:val="left" w:pos="1152"/>
          <w:tab w:val="left" w:pos="1872"/>
          <w:tab w:val="left" w:pos="9187"/>
        </w:tabs>
        <w:ind w:left="2088" w:hanging="2088"/>
      </w:pPr>
      <w:r>
        <w:tab/>
        <w:t>1/8/2019</w:t>
      </w:r>
      <w:r>
        <w:tab/>
        <w:t>Senate</w:t>
      </w:r>
      <w:r>
        <w:tab/>
      </w:r>
      <w:r w:rsidRPr="00C85326">
        <w:t>Ref</w:t>
      </w:r>
      <w:r>
        <w:t xml:space="preserve">erred to Committee on </w:t>
      </w:r>
      <w:r w:rsidRPr="00C85326">
        <w:rPr>
          <w:b/>
        </w:rPr>
        <w:t>Judiciary</w:t>
      </w:r>
      <w:r>
        <w:t xml:space="preserve"> </w:t>
      </w:r>
      <w:r w:rsidRPr="00C85326">
        <w:t>(</w:t>
      </w:r>
      <w:hyperlink r:id="rId7" w:history="1">
        <w:r w:rsidRPr="00C85326">
          <w:rPr>
            <w:rStyle w:val="Hyperlink"/>
          </w:rPr>
          <w:t>Senate Journal</w:t>
        </w:r>
        <w:r w:rsidRPr="00C85326">
          <w:rPr>
            <w:rStyle w:val="Hyperlink"/>
          </w:rPr>
          <w:noBreakHyphen/>
          <w:t>page 85</w:t>
        </w:r>
      </w:hyperlink>
      <w:r w:rsidRPr="00C85326">
        <w:t>)</w:t>
      </w:r>
    </w:p>
    <w:p w:rsidR="008E2C7F" w:rsidRDefault="008E2C7F" w:rsidP="008E2C7F">
      <w:pPr>
        <w:widowControl w:val="0"/>
        <w:tabs>
          <w:tab w:val="right" w:pos="1008"/>
          <w:tab w:val="left" w:pos="1152"/>
          <w:tab w:val="left" w:pos="1872"/>
          <w:tab w:val="left" w:pos="9187"/>
        </w:tabs>
        <w:ind w:left="2088" w:hanging="2088"/>
      </w:pPr>
    </w:p>
    <w:p w:rsidR="001D40AA" w:rsidRDefault="001D40AA" w:rsidP="001D40A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D40AA">
          <w:rPr>
            <w:rStyle w:val="Hyperlink"/>
          </w:rPr>
          <w:t>legislative information</w:t>
        </w:r>
      </w:hyperlink>
      <w:r>
        <w:t xml:space="preserve"> at the website</w:t>
      </w:r>
    </w:p>
    <w:p w:rsidR="001D40AA" w:rsidRDefault="001D40AA" w:rsidP="001D40AA">
      <w:pPr>
        <w:widowControl w:val="0"/>
        <w:tabs>
          <w:tab w:val="right" w:pos="1008"/>
          <w:tab w:val="left" w:pos="1152"/>
          <w:tab w:val="left" w:pos="1872"/>
          <w:tab w:val="left" w:pos="9187"/>
        </w:tabs>
        <w:ind w:left="2088" w:hanging="2088"/>
      </w:pPr>
    </w:p>
    <w:p w:rsidR="001D40AA" w:rsidRPr="001D40AA" w:rsidRDefault="001D40AA" w:rsidP="001D40AA">
      <w:pPr>
        <w:widowControl w:val="0"/>
        <w:tabs>
          <w:tab w:val="right" w:pos="1008"/>
          <w:tab w:val="left" w:pos="1152"/>
          <w:tab w:val="left" w:pos="1872"/>
          <w:tab w:val="left" w:pos="9187"/>
        </w:tabs>
        <w:ind w:left="2088" w:hanging="2088"/>
      </w:pPr>
    </w:p>
    <w:p w:rsidR="001D40AA" w:rsidRDefault="001D40AA" w:rsidP="001D40AA">
      <w:pPr>
        <w:widowControl w:val="0"/>
      </w:pPr>
      <w:r w:rsidRPr="001D40AA">
        <w:rPr>
          <w:b/>
        </w:rPr>
        <w:t>VERSIONS OF THIS BILL</w:t>
      </w:r>
    </w:p>
    <w:p w:rsidR="001D40AA" w:rsidRDefault="001D40AA" w:rsidP="001D40AA">
      <w:pPr>
        <w:widowControl w:val="0"/>
      </w:pPr>
    </w:p>
    <w:p w:rsidR="001D40AA" w:rsidRDefault="001D6CA7" w:rsidP="001D40AA">
      <w:pPr>
        <w:widowControl w:val="0"/>
      </w:pPr>
      <w:hyperlink r:id="rId9" w:history="1">
        <w:r w:rsidR="001D40AA">
          <w:rPr>
            <w:rStyle w:val="Hyperlink"/>
          </w:rPr>
          <w:t>12/12/2018</w:t>
        </w:r>
      </w:hyperlink>
    </w:p>
    <w:p w:rsidR="001D40AA" w:rsidRDefault="001D40AA" w:rsidP="001D40AA"/>
    <w:p w:rsidR="001D40AA" w:rsidRDefault="001D40AA" w:rsidP="001D40AA">
      <w:pPr>
        <w:sectPr w:rsidR="001D40AA" w:rsidSect="001D40AA">
          <w:pgSz w:w="12240" w:h="15840" w:code="1"/>
          <w:pgMar w:top="1080" w:right="1440" w:bottom="1080" w:left="1440" w:header="720" w:footer="720" w:gutter="0"/>
          <w:cols w:space="720"/>
          <w:noEndnote/>
          <w:docGrid w:linePitch="360"/>
        </w:sectPr>
      </w:pPr>
    </w:p>
    <w:p w:rsidR="000F16B0" w:rsidRPr="00522CE0" w:rsidRDefault="000F1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01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6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w:t>
      </w:r>
      <w:r w:rsidRPr="002E1530">
        <w:rPr>
          <w:color w:val="000000" w:themeColor="text1"/>
          <w:u w:color="000000" w:themeColor="text1"/>
        </w:rPr>
        <w:t>MEND SECTION 16</w:t>
      </w:r>
      <w:r w:rsidR="00DE728B">
        <w:rPr>
          <w:color w:val="000000" w:themeColor="text1"/>
          <w:u w:color="000000" w:themeColor="text1"/>
        </w:rPr>
        <w:noBreakHyphen/>
      </w:r>
      <w:r w:rsidRPr="002E1530">
        <w:rPr>
          <w:color w:val="000000" w:themeColor="text1"/>
          <w:u w:color="000000" w:themeColor="text1"/>
        </w:rPr>
        <w:t>11</w:t>
      </w:r>
      <w:r w:rsidR="00DE728B">
        <w:rPr>
          <w:color w:val="000000" w:themeColor="text1"/>
          <w:u w:color="000000" w:themeColor="text1"/>
        </w:rPr>
        <w:noBreakHyphen/>
      </w:r>
      <w:r w:rsidRPr="002E1530">
        <w:rPr>
          <w:color w:val="000000" w:themeColor="text1"/>
          <w:u w:color="000000" w:themeColor="text1"/>
        </w:rPr>
        <w:t>311</w:t>
      </w:r>
      <w:r w:rsidR="00843C08">
        <w:rPr>
          <w:color w:val="000000" w:themeColor="text1"/>
          <w:u w:color="000000" w:themeColor="text1"/>
        </w:rPr>
        <w:t xml:space="preserve"> OF THE 1976</w:t>
      </w:r>
      <w:r>
        <w:rPr>
          <w:color w:val="000000" w:themeColor="text1"/>
          <w:u w:color="000000" w:themeColor="text1"/>
        </w:rPr>
        <w:t xml:space="preserve"> CODE</w:t>
      </w:r>
      <w:r w:rsidRPr="002E1530">
        <w:rPr>
          <w:color w:val="000000" w:themeColor="text1"/>
          <w:u w:color="000000" w:themeColor="text1"/>
        </w:rPr>
        <w:t>, RELATING TO BURGLARY</w:t>
      </w:r>
      <w:r w:rsidR="005E1E5B">
        <w:rPr>
          <w:color w:val="000000" w:themeColor="text1"/>
          <w:u w:color="000000" w:themeColor="text1"/>
        </w:rPr>
        <w:t xml:space="preserve"> IN THE FIRST DEGREE</w:t>
      </w:r>
      <w:r w:rsidRPr="002E1530">
        <w:rPr>
          <w:color w:val="000000" w:themeColor="text1"/>
          <w:u w:color="000000" w:themeColor="text1"/>
        </w:rPr>
        <w:t>, TO ENACT THE “HOME INVASION PROTECTION ACT</w:t>
      </w:r>
      <w:r>
        <w:rPr>
          <w:color w:val="000000" w:themeColor="text1"/>
          <w:u w:color="000000" w:themeColor="text1"/>
        </w:rPr>
        <w:t>,</w:t>
      </w:r>
      <w:r w:rsidRPr="002E1530">
        <w:rPr>
          <w:color w:val="000000" w:themeColor="text1"/>
          <w:u w:color="000000" w:themeColor="text1"/>
        </w:rPr>
        <w:t xml:space="preserve">” TO PROVIDE </w:t>
      </w:r>
      <w:r w:rsidR="005E1E5B">
        <w:rPr>
          <w:color w:val="000000" w:themeColor="text1"/>
          <w:u w:color="000000" w:themeColor="text1"/>
        </w:rPr>
        <w:t xml:space="preserve">PENALTIES FOR </w:t>
      </w:r>
      <w:r w:rsidRPr="002E1530">
        <w:rPr>
          <w:color w:val="000000" w:themeColor="text1"/>
          <w:u w:color="000000" w:themeColor="text1"/>
        </w:rPr>
        <w:t>BURGLARY IN THE FIRST DEGREE IF A PERSON WHO IS NOT A PARTICIPANT IN THE CRIME IS PRESENT IN THE DWELLING.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6C93" w:rsidRPr="00CC6C93" w:rsidRDefault="00A80181"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C6C93" w:rsidRPr="00CC6C93">
        <w:rPr>
          <w:rFonts w:eastAsia="Times New Roman"/>
          <w:color w:val="000000" w:themeColor="text1"/>
          <w:szCs w:val="20"/>
          <w:u w:color="000000" w:themeColor="text1"/>
        </w:rPr>
        <w:t>This act may be cited as the “Home Invasion Protection Act</w:t>
      </w:r>
      <w:r w:rsidR="00CC6C93">
        <w:rPr>
          <w:rFonts w:eastAsia="Times New Roman"/>
          <w:color w:val="000000" w:themeColor="text1"/>
          <w:szCs w:val="20"/>
          <w:u w:color="000000" w:themeColor="text1"/>
        </w:rPr>
        <w:t>.</w:t>
      </w:r>
      <w:r w:rsidR="00CC6C93" w:rsidRPr="00CC6C93">
        <w:rPr>
          <w:rFonts w:eastAsia="Times New Roman"/>
          <w:color w:val="000000" w:themeColor="text1"/>
          <w:szCs w:val="20"/>
          <w:u w:color="000000" w:themeColor="text1"/>
        </w:rPr>
        <w:t>”</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SECTION</w:t>
      </w:r>
      <w:r w:rsidRPr="00CC6C93">
        <w:rPr>
          <w:rFonts w:eastAsia="Times New Roman"/>
          <w:color w:val="000000" w:themeColor="text1"/>
          <w:szCs w:val="20"/>
          <w:u w:color="000000" w:themeColor="text1"/>
        </w:rPr>
        <w:tab/>
        <w:t>2.</w:t>
      </w:r>
      <w:r w:rsidRPr="00CC6C93">
        <w:rPr>
          <w:rFonts w:eastAsia="Times New Roman"/>
          <w:color w:val="000000" w:themeColor="text1"/>
          <w:szCs w:val="20"/>
          <w:u w:color="000000" w:themeColor="text1"/>
        </w:rPr>
        <w:tab/>
        <w:t>Section 16</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11</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311 of the 1976 Code is amended to read:</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t>“Section 16</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11</w:t>
      </w:r>
      <w:r w:rsidR="00DE728B">
        <w:rPr>
          <w:rFonts w:eastAsia="Times New Roman"/>
          <w:color w:val="000000" w:themeColor="text1"/>
          <w:szCs w:val="20"/>
          <w:u w:color="000000" w:themeColor="text1"/>
        </w:rPr>
        <w:noBreakHyphen/>
      </w:r>
      <w:r w:rsidRPr="00CC6C93">
        <w:rPr>
          <w:rFonts w:eastAsia="Times New Roman"/>
          <w:color w:val="000000" w:themeColor="text1"/>
          <w:szCs w:val="20"/>
          <w:u w:color="000000" w:themeColor="text1"/>
        </w:rPr>
        <w:t>311.</w:t>
      </w:r>
      <w:r w:rsidRPr="00CC6C93">
        <w:rPr>
          <w:rFonts w:eastAsia="Times New Roman"/>
          <w:color w:val="000000" w:themeColor="text1"/>
          <w:szCs w:val="20"/>
          <w:u w:color="000000" w:themeColor="text1"/>
        </w:rPr>
        <w:tab/>
        <w:t>(A)</w:t>
      </w:r>
      <w:r w:rsidRPr="00CC6C93">
        <w:rPr>
          <w:rFonts w:eastAsia="Times New Roman"/>
          <w:color w:val="000000" w:themeColor="text1"/>
          <w:szCs w:val="20"/>
          <w:u w:color="000000" w:themeColor="text1"/>
        </w:rPr>
        <w:tab/>
        <w:t>A person is guilty of burglary in the first degree if the person enters a dwelling without consent and with intent to commit a crime in the dwelling, and either: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(1)</w:t>
      </w:r>
      <w:r w:rsidRPr="00CC6C93">
        <w:rPr>
          <w:rFonts w:eastAsia="Times New Roman"/>
          <w:color w:val="000000" w:themeColor="text1"/>
          <w:szCs w:val="20"/>
          <w:u w:color="000000" w:themeColor="text1"/>
        </w:rPr>
        <w:tab/>
        <w:t xml:space="preserve">when, in effecting entry or while in the dwelling or in immediate flight, </w:t>
      </w:r>
      <w:r w:rsidRPr="00CC6C93">
        <w:rPr>
          <w:rFonts w:eastAsia="Times New Roman"/>
          <w:strike/>
          <w:color w:val="000000" w:themeColor="text1"/>
          <w:szCs w:val="20"/>
          <w:u w:color="000000" w:themeColor="text1"/>
        </w:rPr>
        <w:t>he</w:t>
      </w:r>
      <w:r w:rsidRPr="00CC6C93">
        <w:rPr>
          <w:rFonts w:eastAsia="Times New Roman"/>
          <w:color w:val="000000" w:themeColor="text1"/>
          <w:szCs w:val="20"/>
          <w:u w:color="000000" w:themeColor="text1"/>
        </w:rPr>
        <w:t xml:space="preserve"> </w:t>
      </w:r>
      <w:r w:rsidRPr="00CC6C93">
        <w:rPr>
          <w:rFonts w:eastAsia="Times New Roman"/>
          <w:color w:val="000000" w:themeColor="text1"/>
          <w:szCs w:val="20"/>
          <w:u w:val="single" w:color="000000" w:themeColor="text1"/>
        </w:rPr>
        <w:t>the person</w:t>
      </w:r>
      <w:r w:rsidRPr="00CC6C93">
        <w:rPr>
          <w:rFonts w:eastAsia="Times New Roman"/>
          <w:color w:val="000000" w:themeColor="text1"/>
          <w:szCs w:val="20"/>
          <w:u w:color="000000" w:themeColor="text1"/>
        </w:rPr>
        <w:t xml:space="preserve"> or another participant in the crime:</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(a)</w:t>
      </w:r>
      <w:r w:rsidRPr="00CC6C93">
        <w:rPr>
          <w:rFonts w:eastAsia="Times New Roman"/>
          <w:color w:val="000000" w:themeColor="text1"/>
          <w:szCs w:val="20"/>
          <w:u w:color="000000" w:themeColor="text1"/>
        </w:rPr>
        <w:tab/>
        <w:t xml:space="preserve">is armed with a deadly weapon or explosive;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(b)</w:t>
      </w:r>
      <w:r w:rsidRPr="00CC6C93">
        <w:rPr>
          <w:rFonts w:eastAsia="Times New Roman"/>
          <w:color w:val="000000" w:themeColor="text1"/>
          <w:szCs w:val="20"/>
          <w:u w:color="000000" w:themeColor="text1"/>
        </w:rPr>
        <w:tab/>
        <w:t xml:space="preserve">causes physical injury to a person who is not a participant in the crime;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(c)</w:t>
      </w:r>
      <w:r w:rsidRPr="00CC6C93">
        <w:rPr>
          <w:rFonts w:eastAsia="Times New Roman"/>
          <w:color w:val="000000" w:themeColor="text1"/>
          <w:szCs w:val="20"/>
          <w:u w:color="000000" w:themeColor="text1"/>
        </w:rPr>
        <w:tab/>
        <w:t>uses or threatens the use of a dangerous instrument; 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(d)</w:t>
      </w:r>
      <w:r w:rsidRPr="00CC6C93">
        <w:rPr>
          <w:rFonts w:eastAsia="Times New Roman"/>
          <w:color w:val="000000" w:themeColor="text1"/>
          <w:szCs w:val="20"/>
          <w:u w:color="000000" w:themeColor="text1"/>
        </w:rPr>
        <w:tab/>
        <w:t xml:space="preserve">displays what is or appears to be a knife, pistol, revolver, rifle, shotgun, machine gun, or other firearm; </w:t>
      </w:r>
      <w:r w:rsidRPr="00CC6C93">
        <w:rPr>
          <w:rFonts w:eastAsia="Times New Roman"/>
          <w:strike/>
          <w:color w:val="000000" w:themeColor="text1"/>
          <w:szCs w:val="20"/>
          <w:u w:color="000000" w:themeColor="text1"/>
        </w:rPr>
        <w:t>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(2)</w:t>
      </w:r>
      <w:r w:rsidRPr="00CC6C93">
        <w:rPr>
          <w:rFonts w:eastAsia="Times New Roman"/>
          <w:color w:val="000000" w:themeColor="text1"/>
          <w:szCs w:val="20"/>
          <w:u w:color="000000" w:themeColor="text1"/>
        </w:rPr>
        <w:tab/>
        <w:t>the burglary is committed by a person with a prior record of two or more convictions for burglary or housebreaking or a combination of both; or</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ab/>
      </w:r>
      <w:r w:rsidRPr="00CC6C93">
        <w:rPr>
          <w:rFonts w:eastAsia="Times New Roman"/>
          <w:color w:val="000000" w:themeColor="text1"/>
          <w:szCs w:val="20"/>
          <w:u w:color="000000" w:themeColor="text1"/>
        </w:rPr>
        <w:tab/>
        <w:t>(3)</w:t>
      </w:r>
      <w:r w:rsidRPr="00CC6C93">
        <w:rPr>
          <w:rFonts w:eastAsia="Times New Roman"/>
          <w:color w:val="000000" w:themeColor="text1"/>
          <w:szCs w:val="20"/>
          <w:u w:color="000000" w:themeColor="text1"/>
        </w:rPr>
        <w:tab/>
        <w:t>the entering or remaining occurs in the nighttime.</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lastRenderedPageBreak/>
        <w:tab/>
        <w:t>(B)</w:t>
      </w:r>
      <w:r w:rsidRPr="00CC6C93">
        <w:rPr>
          <w:rFonts w:eastAsia="Times New Roman"/>
          <w:color w:val="000000" w:themeColor="text1"/>
          <w:szCs w:val="20"/>
          <w:u w:color="000000" w:themeColor="text1"/>
        </w:rPr>
        <w:tab/>
        <w:t xml:space="preserve">Burglary in the first degree is a felony punishable by life imprisonment. For purposes of this section, ‘life’ means until death. </w:t>
      </w:r>
      <w:r w:rsidRPr="00CC6C93">
        <w:rPr>
          <w:rFonts w:eastAsia="Times New Roman"/>
          <w:strike/>
          <w:color w:val="000000" w:themeColor="text1"/>
          <w:szCs w:val="20"/>
          <w:u w:color="000000" w:themeColor="text1"/>
        </w:rPr>
        <w:t>The</w:t>
      </w:r>
      <w:r w:rsidRPr="00CC6C93">
        <w:rPr>
          <w:rFonts w:eastAsia="Times New Roman"/>
          <w:color w:val="000000" w:themeColor="text1"/>
          <w:szCs w:val="20"/>
          <w:u w:color="000000" w:themeColor="text1"/>
        </w:rPr>
        <w:t xml:space="preserve"> </w:t>
      </w:r>
      <w:r w:rsidRPr="00CC6C93">
        <w:rPr>
          <w:rFonts w:eastAsia="Times New Roman"/>
          <w:color w:val="000000" w:themeColor="text1"/>
          <w:szCs w:val="20"/>
          <w:u w:val="single" w:color="000000" w:themeColor="text1"/>
        </w:rPr>
        <w:t>If the burglary involves an element of subsection (A)(2),</w:t>
      </w:r>
      <w:r w:rsidR="00843C08">
        <w:rPr>
          <w:rFonts w:eastAsia="Times New Roman"/>
          <w:color w:val="000000" w:themeColor="text1"/>
          <w:szCs w:val="20"/>
          <w:u w:val="single" w:color="000000" w:themeColor="text1"/>
        </w:rPr>
        <w:t xml:space="preserve"> subsection</w:t>
      </w:r>
      <w:r w:rsidRPr="00CC6C93">
        <w:rPr>
          <w:rFonts w:eastAsia="Times New Roman"/>
          <w:color w:val="000000" w:themeColor="text1"/>
          <w:szCs w:val="20"/>
          <w:u w:val="single" w:color="000000" w:themeColor="text1"/>
        </w:rPr>
        <w:t xml:space="preserve"> (A)(3), or subsections (A)(2) and (A)(3), but does not involve an element of subsection (A)(1), </w:t>
      </w:r>
      <w:r w:rsidR="00843C08">
        <w:rPr>
          <w:rFonts w:eastAsia="Times New Roman"/>
          <w:color w:val="000000" w:themeColor="text1"/>
          <w:szCs w:val="20"/>
          <w:u w:val="single" w:color="000000" w:themeColor="text1"/>
        </w:rPr>
        <w:t xml:space="preserve">then </w:t>
      </w:r>
      <w:r w:rsidRPr="00CC6C93">
        <w:rPr>
          <w:rFonts w:eastAsia="Times New Roman"/>
          <w:color w:val="000000" w:themeColor="text1"/>
          <w:szCs w:val="20"/>
          <w:u w:val="single" w:color="000000" w:themeColor="text1"/>
        </w:rPr>
        <w:t>the</w:t>
      </w:r>
      <w:r w:rsidRPr="00CC6C93">
        <w:rPr>
          <w:rFonts w:eastAsia="Times New Roman"/>
          <w:color w:val="000000" w:themeColor="text1"/>
          <w:szCs w:val="20"/>
          <w:u w:color="000000" w:themeColor="text1"/>
        </w:rPr>
        <w:t xml:space="preserve"> court, in its discretion, may sentence the defendant to a term of not less than fifteen years. </w:t>
      </w:r>
      <w:r w:rsidRPr="00CC6C93">
        <w:rPr>
          <w:rFonts w:eastAsia="Times New Roman"/>
          <w:color w:val="000000" w:themeColor="text1"/>
          <w:szCs w:val="20"/>
          <w:u w:val="single" w:color="000000" w:themeColor="text1"/>
        </w:rPr>
        <w:t xml:space="preserve">If the burglary involves an element of subsection (A)(1) and a person who is not a participant in the crime is present in the dwelling, </w:t>
      </w:r>
      <w:r w:rsidR="00843C08">
        <w:rPr>
          <w:rFonts w:eastAsia="Times New Roman"/>
          <w:color w:val="000000" w:themeColor="text1"/>
          <w:szCs w:val="20"/>
          <w:u w:val="single" w:color="000000" w:themeColor="text1"/>
        </w:rPr>
        <w:t xml:space="preserve">then </w:t>
      </w:r>
      <w:r w:rsidRPr="00CC6C93">
        <w:rPr>
          <w:rFonts w:eastAsia="Times New Roman"/>
          <w:color w:val="000000" w:themeColor="text1"/>
          <w:szCs w:val="20"/>
          <w:u w:val="single" w:color="000000" w:themeColor="text1"/>
        </w:rPr>
        <w:t>the court, in its discretion, may sentence the defendant to a term of not less than twenty years.</w:t>
      </w:r>
      <w:r w:rsidRPr="00CC6C93">
        <w:rPr>
          <w:rFonts w:eastAsia="Times New Roman"/>
          <w:color w:val="000000" w:themeColor="text1"/>
          <w:szCs w:val="20"/>
          <w:u w:color="000000" w:themeColor="text1"/>
        </w:rPr>
        <w:t>”</w:t>
      </w: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6C93" w:rsidRPr="00CC6C93" w:rsidRDefault="00CC6C93" w:rsidP="00CC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6C93">
        <w:rPr>
          <w:rFonts w:eastAsia="Times New Roman"/>
          <w:color w:val="000000" w:themeColor="text1"/>
          <w:szCs w:val="20"/>
          <w:u w:color="000000" w:themeColor="text1"/>
        </w:rPr>
        <w:t>SECTION</w:t>
      </w:r>
      <w:r w:rsidRPr="00CC6C93">
        <w:rPr>
          <w:rFonts w:eastAsia="Times New Roman"/>
          <w:color w:val="000000" w:themeColor="text1"/>
          <w:szCs w:val="20"/>
          <w:u w:color="000000" w:themeColor="text1"/>
        </w:rPr>
        <w:tab/>
        <w:t>3.</w:t>
      </w:r>
      <w:r w:rsidRPr="00CC6C93">
        <w:rPr>
          <w:rFonts w:eastAsia="Times New Roman"/>
          <w:color w:val="000000" w:themeColor="text1"/>
          <w:szCs w:val="20"/>
          <w:u w:color="000000" w:themeColor="text1"/>
        </w:rPr>
        <w:tab/>
        <w:t>The repeal or amendment by this act of any law, whether temporary</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permanent</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civil</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or criminal, does not affect pending actions, rights, duties, or liabilities founded thereon or alter, discharge, release</w:t>
      </w:r>
      <w:r w:rsidR="00843C08">
        <w:rPr>
          <w:rFonts w:eastAsia="Times New Roman"/>
          <w:color w:val="000000" w:themeColor="text1"/>
          <w:szCs w:val="20"/>
          <w:u w:color="000000" w:themeColor="text1"/>
        </w:rPr>
        <w:t>,</w:t>
      </w:r>
      <w:r w:rsidRPr="00CC6C93">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0181"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181" w:rsidRPr="00522CE0" w:rsidRDefault="00A80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6C93">
        <w:rPr>
          <w:rFonts w:eastAsia="Times New Roman"/>
        </w:rPr>
        <w:t>4</w:t>
      </w:r>
      <w:r>
        <w:rPr>
          <w:rFonts w:eastAsia="Times New Roman"/>
        </w:rPr>
        <w:t>.</w:t>
      </w:r>
      <w:r>
        <w:rPr>
          <w:rFonts w:eastAsia="Times New Roman"/>
        </w:rPr>
        <w:tab/>
        <w:t>This act takes effect upon approval by the Governor.</w:t>
      </w:r>
    </w:p>
    <w:p w:rsidR="002B79A7" w:rsidRDefault="00DE72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40AA" w:rsidRDefault="001D40AA" w:rsidP="001D40AA">
      <w:pPr>
        <w:suppressAutoHyphens/>
        <w:jc w:val="both"/>
        <w:rPr>
          <w:rFonts w:eastAsia="Times New Roman"/>
        </w:rPr>
      </w:pPr>
    </w:p>
    <w:sectPr w:rsidR="001D40AA" w:rsidSect="001D40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181" w:rsidRDefault="00A80181" w:rsidP="00522CE0">
      <w:r>
        <w:separator/>
      </w:r>
    </w:p>
  </w:endnote>
  <w:endnote w:type="continuationSeparator" w:id="0">
    <w:p w:rsidR="00A80181" w:rsidRDefault="00A80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717CDF-A1DB-4BA3-AF65-40A075E898B9}"/>
    <w:embedBold r:id="rId2" w:fontKey="{FF7EB647-1D90-4FE3-9072-E7F3FE41BEBF}"/>
  </w:font>
  <w:font w:name="Calibri">
    <w:panose1 w:val="020F0502020204030204"/>
    <w:charset w:val="00"/>
    <w:family w:val="swiss"/>
    <w:pitch w:val="variable"/>
    <w:sig w:usb0="E00002FF" w:usb1="4000ACFF" w:usb2="00000001" w:usb3="00000000" w:csb0="0000019F" w:csb1="00000000"/>
    <w:embedRegular r:id="rId3" w:fontKey="{7CB98CEB-B0F2-4F1C-A8AC-54D93C326EA2}"/>
    <w:embedBold r:id="rId4" w:fontKey="{08AF8F45-F957-4157-B334-DAEE1EF93D3A}"/>
  </w:font>
  <w:font w:name="Cambria">
    <w:panose1 w:val="02040503050406030204"/>
    <w:charset w:val="00"/>
    <w:family w:val="roman"/>
    <w:pitch w:val="variable"/>
    <w:sig w:usb0="E00002FF" w:usb1="400004FF" w:usb2="00000000" w:usb3="00000000" w:csb0="0000019F" w:csb1="00000000"/>
    <w:embedRegular r:id="rId5" w:fontKey="{1471196F-A92E-4BB2-8C63-517FEC4CB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AA" w:rsidRPr="000F16B0" w:rsidRDefault="001D40AA" w:rsidP="000F16B0">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sidR="00E12A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181" w:rsidRDefault="00A80181" w:rsidP="00522CE0">
      <w:r>
        <w:separator/>
      </w:r>
    </w:p>
  </w:footnote>
  <w:footnote w:type="continuationSeparator" w:id="0">
    <w:p w:rsidR="00A80181" w:rsidRDefault="00A80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OME.KMM.GEC"/>
    <w:docVar w:name="CoverAttorneyInitials" w:val="KMM"/>
    <w:docVar w:name="CoverAttorneyLastName" w:val="Moffitt"/>
    <w:docVar w:name="CoverBillType" w:val="b"/>
    <w:docVar w:name="CoverSenator" w:val="GEC"/>
    <w:docVar w:name="dvBillNumber" w:val="96"/>
    <w:docVar w:name="dvBillNumberPrefix" w:val="S. "/>
    <w:docVar w:name="dvOriginalBody" w:val="Senate"/>
    <w:docVar w:name="fulldraftpath" w:val="L:\S-RES\GEC\013HOME.KMM.GEC.DOCX"/>
    <w:docVar w:name="NameofBody" w:val="S"/>
    <w:docVar w:name="vgroup2" w:val="S-RES"/>
  </w:docVars>
  <w:rsids>
    <w:rsidRoot w:val="00A80181"/>
    <w:rsid w:val="00042AC1"/>
    <w:rsid w:val="00046516"/>
    <w:rsid w:val="00072458"/>
    <w:rsid w:val="0007601D"/>
    <w:rsid w:val="000A036B"/>
    <w:rsid w:val="000B0720"/>
    <w:rsid w:val="000B5EAF"/>
    <w:rsid w:val="000F16B0"/>
    <w:rsid w:val="001315B2"/>
    <w:rsid w:val="00170561"/>
    <w:rsid w:val="00186AC9"/>
    <w:rsid w:val="00197DF1"/>
    <w:rsid w:val="001B3DD9"/>
    <w:rsid w:val="001B7E5D"/>
    <w:rsid w:val="001D3BAC"/>
    <w:rsid w:val="001D40AA"/>
    <w:rsid w:val="00216025"/>
    <w:rsid w:val="00245C4E"/>
    <w:rsid w:val="002B79A7"/>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E5B"/>
    <w:rsid w:val="005F07AC"/>
    <w:rsid w:val="005F1745"/>
    <w:rsid w:val="00626097"/>
    <w:rsid w:val="00627597"/>
    <w:rsid w:val="006A1802"/>
    <w:rsid w:val="006C0CBB"/>
    <w:rsid w:val="006C74EA"/>
    <w:rsid w:val="00720D40"/>
    <w:rsid w:val="007318D4"/>
    <w:rsid w:val="00765784"/>
    <w:rsid w:val="007A4390"/>
    <w:rsid w:val="007E5CB7"/>
    <w:rsid w:val="00806AE8"/>
    <w:rsid w:val="008314D2"/>
    <w:rsid w:val="00843C08"/>
    <w:rsid w:val="00870F6F"/>
    <w:rsid w:val="008B2F42"/>
    <w:rsid w:val="008C3697"/>
    <w:rsid w:val="008E185F"/>
    <w:rsid w:val="008E2C7F"/>
    <w:rsid w:val="008F023B"/>
    <w:rsid w:val="00904E16"/>
    <w:rsid w:val="009162B3"/>
    <w:rsid w:val="00927C62"/>
    <w:rsid w:val="00983951"/>
    <w:rsid w:val="00984124"/>
    <w:rsid w:val="00984640"/>
    <w:rsid w:val="00995C37"/>
    <w:rsid w:val="009C118A"/>
    <w:rsid w:val="00A02011"/>
    <w:rsid w:val="00A4011E"/>
    <w:rsid w:val="00A80181"/>
    <w:rsid w:val="00A86015"/>
    <w:rsid w:val="00A9594E"/>
    <w:rsid w:val="00AE59C8"/>
    <w:rsid w:val="00B10098"/>
    <w:rsid w:val="00B5790D"/>
    <w:rsid w:val="00B945C5"/>
    <w:rsid w:val="00BA20EA"/>
    <w:rsid w:val="00BB5AFC"/>
    <w:rsid w:val="00BC0A56"/>
    <w:rsid w:val="00C44876"/>
    <w:rsid w:val="00C45366"/>
    <w:rsid w:val="00C57023"/>
    <w:rsid w:val="00C74052"/>
    <w:rsid w:val="00CB187A"/>
    <w:rsid w:val="00CC0EC7"/>
    <w:rsid w:val="00CC251A"/>
    <w:rsid w:val="00CC6C93"/>
    <w:rsid w:val="00CF2C98"/>
    <w:rsid w:val="00D1088B"/>
    <w:rsid w:val="00D1286F"/>
    <w:rsid w:val="00D14DE6"/>
    <w:rsid w:val="00D156D2"/>
    <w:rsid w:val="00D35486"/>
    <w:rsid w:val="00D53E29"/>
    <w:rsid w:val="00D86943"/>
    <w:rsid w:val="00DA3C6B"/>
    <w:rsid w:val="00DA47B9"/>
    <w:rsid w:val="00DE5635"/>
    <w:rsid w:val="00DE728B"/>
    <w:rsid w:val="00E058D3"/>
    <w:rsid w:val="00E12A18"/>
    <w:rsid w:val="00E12CA0"/>
    <w:rsid w:val="00E2236D"/>
    <w:rsid w:val="00E76AD9"/>
    <w:rsid w:val="00E86EE2"/>
    <w:rsid w:val="00E91E2F"/>
    <w:rsid w:val="00EA3546"/>
    <w:rsid w:val="00EB47AE"/>
    <w:rsid w:val="00EC34E1"/>
    <w:rsid w:val="00EE41E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307EE3A-E916-4143-9F5F-D7B5CB63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D4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586</Words>
  <Characters>2981</Characters>
  <Application>Microsoft Office Word</Application>
  <DocSecurity>0</DocSecurity>
  <Lines>101</Lines>
  <Paragraphs>36</Paragraphs>
  <ScaleCrop>false</ScaleCrop>
  <Company> </Company>
  <LinksUpToDate>false</LinksUpToDate>
  <CharactersWithSpaces>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96: Home Invasion Protection Act - South Carolina Legislature Online</dc:title>
  <dc:subject/>
  <dc:creator>Rebecca Landau</dc:creator>
  <cp:keywords/>
  <dc:description/>
  <cp:lastModifiedBy>S Volk</cp:lastModifiedBy>
  <cp:revision>2</cp:revision>
  <dcterms:created xsi:type="dcterms:W3CDTF">2019-01-15T18:20:00Z</dcterms:created>
  <dcterms:modified xsi:type="dcterms:W3CDTF">2019-01-15T18:20:00Z</dcterms:modified>
</cp:coreProperties>
</file>