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254C" w:rsidRDefault="00F8254C" w:rsidP="00F8254C">
      <w:pPr>
        <w:widowControl w:val="0"/>
        <w:jc w:val="center"/>
      </w:pPr>
      <w:r w:rsidRPr="00F8254C">
        <w:rPr>
          <w:b/>
        </w:rPr>
        <w:t>South Carolina General Assembly</w:t>
      </w:r>
    </w:p>
    <w:p w:rsidR="00F8254C" w:rsidRDefault="00F8254C" w:rsidP="00F8254C">
      <w:pPr>
        <w:widowControl w:val="0"/>
        <w:jc w:val="center"/>
      </w:pPr>
      <w:r>
        <w:t>123rd Session, 2019-2020</w:t>
      </w:r>
    </w:p>
    <w:p w:rsidR="00F8254C" w:rsidRDefault="00F8254C" w:rsidP="00F8254C">
      <w:pPr>
        <w:widowControl w:val="0"/>
      </w:pPr>
    </w:p>
    <w:p w:rsidR="00F8254C" w:rsidRDefault="00F8254C" w:rsidP="00F8254C">
      <w:pPr>
        <w:widowControl w:val="0"/>
        <w:rPr>
          <w:b/>
        </w:rPr>
      </w:pPr>
      <w:r w:rsidRPr="00F8254C">
        <w:rPr>
          <w:b/>
        </w:rPr>
        <w:t>S.</w:t>
      </w:r>
      <w:r>
        <w:rPr>
          <w:b/>
        </w:rPr>
        <w:t xml:space="preserve"> </w:t>
      </w:r>
      <w:r w:rsidRPr="00F8254C">
        <w:rPr>
          <w:b/>
        </w:rPr>
        <w:t>983</w:t>
      </w:r>
    </w:p>
    <w:p w:rsidR="00F8254C" w:rsidRDefault="00F8254C" w:rsidP="00F8254C">
      <w:pPr>
        <w:widowControl w:val="0"/>
        <w:rPr>
          <w:b/>
        </w:rPr>
      </w:pPr>
    </w:p>
    <w:p w:rsidR="00F8254C" w:rsidRDefault="00F8254C" w:rsidP="00F8254C">
      <w:pPr>
        <w:widowControl w:val="0"/>
      </w:pPr>
      <w:r w:rsidRPr="00F8254C">
        <w:rPr>
          <w:b/>
        </w:rPr>
        <w:t>STATUS INFORMATION</w:t>
      </w:r>
    </w:p>
    <w:p w:rsidR="00F8254C" w:rsidRDefault="00F8254C" w:rsidP="00F8254C">
      <w:pPr>
        <w:widowControl w:val="0"/>
      </w:pPr>
    </w:p>
    <w:p w:rsidR="00F8254C" w:rsidRDefault="00F8254C" w:rsidP="00F8254C">
      <w:pPr>
        <w:widowControl w:val="0"/>
      </w:pPr>
      <w:r>
        <w:t>General Bill</w:t>
      </w:r>
    </w:p>
    <w:p w:rsidR="00F8254C" w:rsidRDefault="00976186" w:rsidP="00F8254C">
      <w:pPr>
        <w:widowControl w:val="0"/>
      </w:pPr>
      <w:r>
        <w:t>Sponsors: Senators Rankin and Harpootlian</w:t>
      </w:r>
    </w:p>
    <w:p w:rsidR="00F8254C" w:rsidRDefault="00F8254C" w:rsidP="00F8254C">
      <w:pPr>
        <w:widowControl w:val="0"/>
      </w:pPr>
      <w:r>
        <w:t>Document Path: l:\s-jud\bills\rankin\jud0080.sw.docx</w:t>
      </w:r>
    </w:p>
    <w:p w:rsidR="00F8254C" w:rsidRDefault="00F8254C" w:rsidP="00F8254C">
      <w:pPr>
        <w:widowControl w:val="0"/>
      </w:pPr>
    </w:p>
    <w:p w:rsidR="00A23DCF" w:rsidRDefault="00A23DCF" w:rsidP="00F8254C">
      <w:pPr>
        <w:widowControl w:val="0"/>
      </w:pPr>
      <w:r>
        <w:t>Introduced in the Senate on January 14, 2020</w:t>
      </w:r>
    </w:p>
    <w:p w:rsidR="00A23DCF" w:rsidRDefault="00A23DCF" w:rsidP="00F8254C">
      <w:pPr>
        <w:widowControl w:val="0"/>
      </w:pPr>
      <w:r>
        <w:t>Currently residing in the Senate</w:t>
      </w:r>
    </w:p>
    <w:p w:rsidR="00A23DCF" w:rsidRDefault="00A23DCF" w:rsidP="00F8254C">
      <w:pPr>
        <w:widowControl w:val="0"/>
      </w:pPr>
    </w:p>
    <w:p w:rsidR="00F8254C" w:rsidRDefault="00FE3ACB" w:rsidP="00F8254C">
      <w:pPr>
        <w:widowControl w:val="0"/>
      </w:pPr>
      <w:r>
        <w:t>Summary: Judgement executions</w:t>
      </w:r>
    </w:p>
    <w:p w:rsidR="00F8254C" w:rsidRDefault="00F8254C" w:rsidP="00F8254C">
      <w:pPr>
        <w:widowControl w:val="0"/>
      </w:pPr>
    </w:p>
    <w:p w:rsidR="00F8254C" w:rsidRDefault="00F8254C" w:rsidP="00F8254C">
      <w:pPr>
        <w:widowControl w:val="0"/>
      </w:pPr>
    </w:p>
    <w:p w:rsidR="00F8254C" w:rsidRDefault="00F8254C" w:rsidP="00F8254C">
      <w:pPr>
        <w:widowControl w:val="0"/>
        <w:tabs>
          <w:tab w:val="center" w:pos="590"/>
          <w:tab w:val="center" w:pos="1440"/>
          <w:tab w:val="left" w:pos="1872"/>
          <w:tab w:val="left" w:pos="9187"/>
        </w:tabs>
      </w:pPr>
      <w:r w:rsidRPr="00F8254C">
        <w:rPr>
          <w:b/>
        </w:rPr>
        <w:t>HISTORY OF LEGISLATIVE ACTIONS</w:t>
      </w:r>
    </w:p>
    <w:p w:rsidR="00F8254C" w:rsidRDefault="00F8254C" w:rsidP="00F8254C">
      <w:pPr>
        <w:widowControl w:val="0"/>
        <w:tabs>
          <w:tab w:val="center" w:pos="590"/>
          <w:tab w:val="center" w:pos="1440"/>
          <w:tab w:val="left" w:pos="1872"/>
          <w:tab w:val="left" w:pos="9187"/>
        </w:tabs>
      </w:pPr>
    </w:p>
    <w:p w:rsidR="00F8254C" w:rsidRPr="00F8254C" w:rsidRDefault="00F8254C" w:rsidP="00F8254C">
      <w:pPr>
        <w:widowControl w:val="0"/>
        <w:tabs>
          <w:tab w:val="center" w:pos="590"/>
          <w:tab w:val="center" w:pos="1440"/>
          <w:tab w:val="left" w:pos="1872"/>
          <w:tab w:val="left" w:pos="9187"/>
        </w:tabs>
      </w:pPr>
      <w:r w:rsidRPr="00F8254C">
        <w:rPr>
          <w:u w:val="single"/>
        </w:rPr>
        <w:tab/>
        <w:t>Date</w:t>
      </w:r>
      <w:r w:rsidRPr="00F8254C">
        <w:rPr>
          <w:u w:val="single"/>
        </w:rPr>
        <w:tab/>
        <w:t>Body</w:t>
      </w:r>
      <w:r w:rsidRPr="00F8254C">
        <w:rPr>
          <w:u w:val="single"/>
        </w:rPr>
        <w:tab/>
        <w:t>Action Description with journal page number</w:t>
      </w:r>
      <w:r w:rsidRPr="00F8254C">
        <w:rPr>
          <w:u w:val="single"/>
        </w:rPr>
        <w:tab/>
      </w:r>
    </w:p>
    <w:p w:rsidR="007467C4" w:rsidRDefault="007467C4" w:rsidP="007467C4">
      <w:pPr>
        <w:widowControl w:val="0"/>
        <w:tabs>
          <w:tab w:val="right" w:pos="1008"/>
          <w:tab w:val="left" w:pos="1152"/>
          <w:tab w:val="left" w:pos="1872"/>
          <w:tab w:val="left" w:pos="9187"/>
        </w:tabs>
        <w:ind w:left="2088" w:hanging="2088"/>
      </w:pPr>
      <w:r>
        <w:tab/>
        <w:t>1/14/2020</w:t>
      </w:r>
      <w:r>
        <w:tab/>
        <w:t>Senate</w:t>
      </w:r>
      <w:r>
        <w:tab/>
        <w:t>Introduced and read first time (</w:t>
      </w:r>
      <w:hyperlink r:id="rId6" w:history="1">
        <w:r w:rsidRPr="00C8572E">
          <w:rPr>
            <w:rStyle w:val="Hyperlink"/>
          </w:rPr>
          <w:t>Senate Journal</w:t>
        </w:r>
        <w:r w:rsidRPr="00C8572E">
          <w:rPr>
            <w:rStyle w:val="Hyperlink"/>
          </w:rPr>
          <w:noBreakHyphen/>
          <w:t>page 61</w:t>
        </w:r>
      </w:hyperlink>
      <w:r>
        <w:t>)</w:t>
      </w:r>
    </w:p>
    <w:p w:rsidR="007467C4" w:rsidRDefault="007467C4" w:rsidP="007467C4">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C8572E">
        <w:rPr>
          <w:b/>
        </w:rPr>
        <w:t>Judiciary</w:t>
      </w:r>
      <w:r>
        <w:t xml:space="preserve"> (</w:t>
      </w:r>
      <w:hyperlink r:id="rId7" w:history="1">
        <w:r w:rsidRPr="00C8572E">
          <w:rPr>
            <w:rStyle w:val="Hyperlink"/>
          </w:rPr>
          <w:t>Senate Journal</w:t>
        </w:r>
        <w:r w:rsidRPr="00C8572E">
          <w:rPr>
            <w:rStyle w:val="Hyperlink"/>
          </w:rPr>
          <w:noBreakHyphen/>
          <w:t>page 61</w:t>
        </w:r>
      </w:hyperlink>
      <w:r>
        <w:t>)</w:t>
      </w:r>
    </w:p>
    <w:p w:rsidR="007467C4" w:rsidRDefault="007467C4" w:rsidP="007467C4">
      <w:pPr>
        <w:widowControl w:val="0"/>
        <w:tabs>
          <w:tab w:val="right" w:pos="1008"/>
          <w:tab w:val="left" w:pos="1152"/>
          <w:tab w:val="left" w:pos="1872"/>
          <w:tab w:val="left" w:pos="9187"/>
        </w:tabs>
        <w:ind w:left="2088" w:hanging="2088"/>
      </w:pPr>
      <w:r>
        <w:tab/>
        <w:t>1/16/2020</w:t>
      </w:r>
      <w:r>
        <w:tab/>
        <w:t>Senate</w:t>
      </w:r>
      <w:r>
        <w:tab/>
        <w:t>Referred to Subcommittee:  Young (ch), Kimpson, M.B.Matthews, Senn, Talley</w:t>
      </w:r>
    </w:p>
    <w:p w:rsidR="007467C4" w:rsidRDefault="007467C4" w:rsidP="007467C4">
      <w:pPr>
        <w:widowControl w:val="0"/>
        <w:tabs>
          <w:tab w:val="right" w:pos="1008"/>
          <w:tab w:val="left" w:pos="1152"/>
          <w:tab w:val="left" w:pos="1872"/>
          <w:tab w:val="left" w:pos="9187"/>
        </w:tabs>
        <w:ind w:left="2088" w:hanging="2088"/>
      </w:pPr>
      <w:r>
        <w:tab/>
        <w:t>3/4/2020</w:t>
      </w:r>
      <w:r>
        <w:tab/>
        <w:t>Senate</w:t>
      </w:r>
      <w:r>
        <w:tab/>
        <w:t xml:space="preserve">Committee report: Favorable with amendment </w:t>
      </w:r>
      <w:r w:rsidRPr="00C8572E">
        <w:rPr>
          <w:b/>
        </w:rPr>
        <w:t>Judiciary</w:t>
      </w:r>
      <w:r>
        <w:t xml:space="preserve"> (</w:t>
      </w:r>
      <w:hyperlink r:id="rId8" w:history="1">
        <w:r w:rsidRPr="00C8572E">
          <w:rPr>
            <w:rStyle w:val="Hyperlink"/>
          </w:rPr>
          <w:t>Senate Journal</w:t>
        </w:r>
        <w:r w:rsidRPr="00C8572E">
          <w:rPr>
            <w:rStyle w:val="Hyperlink"/>
          </w:rPr>
          <w:noBreakHyphen/>
          <w:t>page 17</w:t>
        </w:r>
      </w:hyperlink>
      <w:r>
        <w:t>)</w:t>
      </w:r>
    </w:p>
    <w:p w:rsidR="007467C4" w:rsidRDefault="007467C4" w:rsidP="007467C4">
      <w:pPr>
        <w:widowControl w:val="0"/>
        <w:tabs>
          <w:tab w:val="right" w:pos="1008"/>
          <w:tab w:val="left" w:pos="1152"/>
          <w:tab w:val="left" w:pos="1872"/>
          <w:tab w:val="left" w:pos="9187"/>
        </w:tabs>
        <w:ind w:left="2088" w:hanging="2088"/>
      </w:pPr>
    </w:p>
    <w:p w:rsidR="00F8254C" w:rsidRDefault="00F8254C" w:rsidP="00F8254C">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F8254C">
          <w:rPr>
            <w:rStyle w:val="Hyperlink"/>
          </w:rPr>
          <w:t>legislative information</w:t>
        </w:r>
      </w:hyperlink>
      <w:r>
        <w:t xml:space="preserve"> at the website</w:t>
      </w:r>
    </w:p>
    <w:p w:rsidR="00F8254C" w:rsidRDefault="00F8254C" w:rsidP="00F8254C">
      <w:pPr>
        <w:widowControl w:val="0"/>
        <w:tabs>
          <w:tab w:val="right" w:pos="1008"/>
          <w:tab w:val="left" w:pos="1152"/>
          <w:tab w:val="left" w:pos="1872"/>
          <w:tab w:val="left" w:pos="9187"/>
        </w:tabs>
        <w:ind w:left="2088" w:hanging="2088"/>
      </w:pPr>
    </w:p>
    <w:p w:rsidR="00F8254C" w:rsidRPr="00F8254C" w:rsidRDefault="00F8254C" w:rsidP="00F8254C">
      <w:pPr>
        <w:widowControl w:val="0"/>
        <w:tabs>
          <w:tab w:val="right" w:pos="1008"/>
          <w:tab w:val="left" w:pos="1152"/>
          <w:tab w:val="left" w:pos="1872"/>
          <w:tab w:val="left" w:pos="9187"/>
        </w:tabs>
        <w:ind w:left="2088" w:hanging="2088"/>
      </w:pPr>
    </w:p>
    <w:p w:rsidR="00F8254C" w:rsidRDefault="00F8254C" w:rsidP="00F8254C">
      <w:pPr>
        <w:widowControl w:val="0"/>
      </w:pPr>
      <w:r w:rsidRPr="00F8254C">
        <w:rPr>
          <w:b/>
        </w:rPr>
        <w:t>VERSIONS OF THIS BILL</w:t>
      </w:r>
    </w:p>
    <w:p w:rsidR="00F8254C" w:rsidRDefault="00F8254C" w:rsidP="00F8254C">
      <w:pPr>
        <w:widowControl w:val="0"/>
      </w:pPr>
    </w:p>
    <w:p w:rsidR="00F8254C" w:rsidRDefault="002056DA" w:rsidP="00F8254C">
      <w:pPr>
        <w:widowControl w:val="0"/>
      </w:pPr>
      <w:hyperlink r:id="rId10" w:history="1">
        <w:r w:rsidR="00F8254C">
          <w:rPr>
            <w:rStyle w:val="Hyperlink"/>
          </w:rPr>
          <w:t>1/14/2020</w:t>
        </w:r>
      </w:hyperlink>
    </w:p>
    <w:p w:rsidR="00F8254C" w:rsidRDefault="002056DA" w:rsidP="00F8254C">
      <w:hyperlink r:id="rId11" w:history="1">
        <w:r w:rsidR="003A12AA" w:rsidRPr="003A12AA">
          <w:rPr>
            <w:rStyle w:val="Hyperlink"/>
          </w:rPr>
          <w:t>3/4/2020</w:t>
        </w:r>
      </w:hyperlink>
    </w:p>
    <w:p w:rsidR="003A12AA" w:rsidRDefault="003A12AA" w:rsidP="00F8254C"/>
    <w:p w:rsidR="00F8254C" w:rsidRDefault="00F8254C" w:rsidP="00F8254C">
      <w:pPr>
        <w:sectPr w:rsidR="00F8254C" w:rsidSect="00F8254C">
          <w:pgSz w:w="12240" w:h="15840" w:code="1"/>
          <w:pgMar w:top="1080" w:right="1440" w:bottom="1080" w:left="1440" w:header="720" w:footer="720" w:gutter="0"/>
          <w:cols w:space="720"/>
          <w:noEndnote/>
          <w:docGrid w:linePitch="360"/>
        </w:sectPr>
      </w:pPr>
    </w:p>
    <w:p w:rsidR="003A12AA" w:rsidRDefault="003A1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3A12AA" w:rsidRPr="00262A17" w:rsidRDefault="003A1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A12AA" w:rsidRDefault="003A1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2AA" w:rsidRDefault="003A1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A12AA" w:rsidRDefault="003A1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4, 2020</w:t>
      </w:r>
    </w:p>
    <w:p w:rsidR="003A12AA" w:rsidRDefault="003A1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2AA" w:rsidRPr="00262A17" w:rsidRDefault="003A12AA" w:rsidP="00262A17">
      <w:pPr>
        <w:tabs>
          <w:tab w:val="right" w:pos="5933"/>
        </w:tabs>
        <w:suppressAutoHyphens/>
        <w:jc w:val="both"/>
        <w:rPr>
          <w:rFonts w:eastAsia="Times New Roman"/>
        </w:rPr>
      </w:pPr>
      <w:r>
        <w:rPr>
          <w:rFonts w:eastAsia="Times New Roman"/>
        </w:rPr>
        <w:tab/>
      </w:r>
      <w:r>
        <w:rPr>
          <w:rFonts w:eastAsia="Times New Roman"/>
          <w:b/>
          <w:sz w:val="36"/>
        </w:rPr>
        <w:t>S. 983</w:t>
      </w:r>
    </w:p>
    <w:p w:rsidR="003A12AA" w:rsidRDefault="003A1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2AA" w:rsidRDefault="003A12AA" w:rsidP="0026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C0DC6">
        <w:t>Senator Rankin</w:t>
      </w:r>
    </w:p>
    <w:p w:rsidR="003A12AA" w:rsidRDefault="003A1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2AA" w:rsidRDefault="003A1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3/4/20--S.</w:t>
      </w:r>
    </w:p>
    <w:p w:rsidR="003A12AA" w:rsidRDefault="003A1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2020.</w:t>
      </w:r>
    </w:p>
    <w:p w:rsidR="003A12AA" w:rsidRPr="00262A17" w:rsidRDefault="003A12AA" w:rsidP="0026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A12AA" w:rsidRDefault="003A1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2AA" w:rsidRPr="00262A17" w:rsidRDefault="003A12AA" w:rsidP="0026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3A12AA" w:rsidRDefault="003A1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983) to amend Section 15</w:t>
      </w:r>
      <w:r>
        <w:rPr>
          <w:rFonts w:eastAsia="Times New Roman"/>
        </w:rPr>
        <w:noBreakHyphen/>
        <w:t>39</w:t>
      </w:r>
      <w:r>
        <w:rPr>
          <w:rFonts w:eastAsia="Times New Roman"/>
        </w:rPr>
        <w:noBreakHyphen/>
        <w:t>20, Code of Laws of South Carolina, 1976, relating to the enforcement of judgment executions, so as to provide for a new, etc., respectfully</w:t>
      </w:r>
    </w:p>
    <w:p w:rsidR="003A12AA" w:rsidRPr="00262A17" w:rsidRDefault="003A12AA" w:rsidP="0026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A12AA" w:rsidRDefault="003A1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A12AA" w:rsidRDefault="003A1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2AA" w:rsidRPr="00B9723C" w:rsidRDefault="003A12AA" w:rsidP="0026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9723C">
        <w:rPr>
          <w:rFonts w:eastAsia="Times New Roman"/>
          <w:snapToGrid w:val="0"/>
          <w:szCs w:val="20"/>
        </w:rPr>
        <w:tab/>
        <w:t>Amend the bill, as and if amended, page 2, by striking lines 1 through 6 in their entirety, and inserting therein the following:</w:t>
      </w:r>
    </w:p>
    <w:p w:rsidR="003A12AA" w:rsidRPr="00B9723C" w:rsidRDefault="003A12AA" w:rsidP="0026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B9723C">
        <w:rPr>
          <w:rFonts w:eastAsia="Times New Roman"/>
          <w:snapToGrid w:val="0"/>
          <w:szCs w:val="20"/>
        </w:rPr>
        <w:tab/>
        <w:t>/</w:t>
      </w:r>
      <w:r w:rsidRPr="00B9723C">
        <w:rPr>
          <w:rFonts w:eastAsia="Times New Roman"/>
          <w:snapToGrid w:val="0"/>
          <w:szCs w:val="20"/>
        </w:rPr>
        <w:tab/>
      </w:r>
      <w:r w:rsidRPr="00B9723C">
        <w:rPr>
          <w:rFonts w:eastAsia="Times New Roman"/>
          <w:snapToGrid w:val="0"/>
          <w:szCs w:val="20"/>
        </w:rPr>
        <w:tab/>
      </w:r>
      <w:r w:rsidRPr="00B9723C">
        <w:rPr>
          <w:rFonts w:eastAsia="Calibri"/>
          <w:u w:val="single" w:color="000000" w:themeColor="text1"/>
        </w:rPr>
        <w:t>(B)</w:t>
      </w:r>
      <w:r w:rsidRPr="00B9723C">
        <w:rPr>
          <w:rFonts w:eastAsia="Calibri"/>
          <w:u w:color="000000" w:themeColor="text1"/>
        </w:rPr>
        <w:tab/>
      </w:r>
      <w:r w:rsidRPr="00B9723C">
        <w:rPr>
          <w:rFonts w:eastAsia="Calibri"/>
          <w:u w:val="single" w:color="000000" w:themeColor="text1"/>
        </w:rPr>
        <w:t>Notwithstanding subsection (A), an execution may issue upon such final judgment or decree and shall have active energy beyond the ten-year period against real property or any other property that represents an ownership interest in said real property, including, but not limited to, a membership interest in a limited liability company or corporate stock, when:</w:t>
      </w:r>
      <w:r w:rsidRPr="00B9723C">
        <w:rPr>
          <w:rFonts w:eastAsia="Calibri"/>
        </w:rPr>
        <w:tab/>
      </w:r>
      <w:r w:rsidRPr="00B9723C">
        <w:rPr>
          <w:rFonts w:eastAsia="Calibri"/>
        </w:rPr>
        <w:tab/>
        <w:t>/</w:t>
      </w:r>
    </w:p>
    <w:p w:rsidR="003A12AA" w:rsidRPr="00B9723C" w:rsidRDefault="003A12AA" w:rsidP="0026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9723C">
        <w:rPr>
          <w:rFonts w:eastAsia="Times New Roman"/>
          <w:snapToGrid w:val="0"/>
          <w:szCs w:val="20"/>
        </w:rPr>
        <w:tab/>
        <w:t>Renumber sections to conform.</w:t>
      </w:r>
    </w:p>
    <w:p w:rsidR="003A12AA" w:rsidRDefault="003A12AA" w:rsidP="0026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9723C">
        <w:rPr>
          <w:rFonts w:eastAsia="Times New Roman"/>
          <w:snapToGrid w:val="0"/>
          <w:szCs w:val="20"/>
        </w:rPr>
        <w:tab/>
        <w:t>Amend title to conform.</w:t>
      </w:r>
    </w:p>
    <w:p w:rsidR="003A12AA" w:rsidRPr="00B9723C" w:rsidRDefault="003A12AA" w:rsidP="0026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A12AA" w:rsidRDefault="003A1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3A12AA" w:rsidRPr="00262A17" w:rsidRDefault="003A12AA" w:rsidP="0026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A12AA" w:rsidRDefault="003A1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2AA" w:rsidRPr="00262A17" w:rsidRDefault="003A12AA" w:rsidP="0026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3A12AA" w:rsidRPr="00656A42" w:rsidRDefault="003A12AA" w:rsidP="00262A17">
      <w:pPr>
        <w:rPr>
          <w:b/>
        </w:rPr>
      </w:pPr>
      <w:r w:rsidRPr="00656A42">
        <w:rPr>
          <w:b/>
        </w:rPr>
        <w:t>Explanation of Fiscal Impact</w:t>
      </w:r>
    </w:p>
    <w:p w:rsidR="003A12AA" w:rsidRPr="00656A42" w:rsidRDefault="003A12AA" w:rsidP="00262A17">
      <w:pPr>
        <w:rPr>
          <w:b/>
        </w:rPr>
      </w:pPr>
      <w:r w:rsidRPr="00656A42">
        <w:rPr>
          <w:b/>
        </w:rPr>
        <w:t>Introduced on January 14, 2020</w:t>
      </w:r>
    </w:p>
    <w:p w:rsidR="003A12AA" w:rsidRPr="00656A42" w:rsidRDefault="003A12AA" w:rsidP="00262A17">
      <w:pPr>
        <w:rPr>
          <w:b/>
        </w:rPr>
      </w:pPr>
      <w:r w:rsidRPr="00656A42">
        <w:rPr>
          <w:b/>
        </w:rPr>
        <w:t>State Expenditure</w:t>
      </w:r>
    </w:p>
    <w:p w:rsidR="003A12AA" w:rsidRPr="00656A42" w:rsidRDefault="003A12AA" w:rsidP="00262A1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56A42">
        <w:rPr>
          <w:sz w:val="22"/>
        </w:rPr>
        <w:t xml:space="preserve">This bill allows a writ of execution on a final judgment to be issued beyond the ten-year period after the entry for judgment when </w:t>
      </w:r>
      <w:r w:rsidRPr="00656A42">
        <w:rPr>
          <w:sz w:val="22"/>
        </w:rPr>
        <w:lastRenderedPageBreak/>
        <w:t xml:space="preserve">the judgment creditor has commenced proceedings for a discovery of property within the ten-year period and, as a result of discovery action, brought an action and received final judgment to set aside a debtor’s fraudulent transfer of property.  A writ of execution is a judicial order that a prior judgment is to be enforced.  Currently, a writ of execution on a final judgment must be issued within the ten-year period after the entry for judgment.  This bill may result in additional court proceedings for those cases that meet the specific criteria discussed above to allow an extension beyond the normal ten-year execution limitation.  However, these instances are expected to be minimal, and managing proceedings is within the normal course of business for the courts. Therefore, this bill is not expected to impact expenditures.   </w:t>
      </w:r>
    </w:p>
    <w:p w:rsidR="003A12AA" w:rsidRPr="00656A42" w:rsidRDefault="003A12AA" w:rsidP="00262A17">
      <w:pPr>
        <w:rPr>
          <w:b/>
        </w:rPr>
      </w:pPr>
      <w:r w:rsidRPr="00656A42">
        <w:rPr>
          <w:b/>
        </w:rPr>
        <w:t>Local Expenditure</w:t>
      </w:r>
    </w:p>
    <w:p w:rsidR="003A12AA" w:rsidRPr="00656A42" w:rsidRDefault="003A12AA" w:rsidP="00262A1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56A42">
        <w:rPr>
          <w:sz w:val="22"/>
        </w:rPr>
        <w:t xml:space="preserve">This bill may result in a few additional writs of execution to enforce the collection of property.  Writs of execution are issued to the sheriff’s office in the county where the property is located.  Therefore, this bill may result in additional work for the local sheriff’s office.  However, it is anticipated any additional writs of execution will be minimal, and can be managed with existing staff and within existing funds.  Therefore, this bill will have no local expenditure impact.  </w:t>
      </w:r>
    </w:p>
    <w:p w:rsidR="003A12AA" w:rsidRDefault="003A1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2AA" w:rsidRDefault="003A1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3A12AA" w:rsidRPr="00262A17" w:rsidRDefault="003A1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3A12AA" w:rsidRDefault="003A1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2AA" w:rsidRDefault="003A1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A12AA" w:rsidSect="00262A17">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3A12AA" w:rsidRDefault="003A1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2AA" w:rsidRPr="00522CE0" w:rsidRDefault="003A1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2AA" w:rsidRPr="00522CE0" w:rsidRDefault="003A1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2AA" w:rsidRPr="00522CE0" w:rsidRDefault="003A1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2AA" w:rsidRPr="00522CE0" w:rsidRDefault="003A1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2AA" w:rsidRPr="00522CE0" w:rsidRDefault="003A1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2AA" w:rsidRPr="00522CE0" w:rsidRDefault="003A1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2AA" w:rsidRPr="00522CE0" w:rsidRDefault="003A1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2AA" w:rsidRPr="008F023B" w:rsidRDefault="003A12AA" w:rsidP="00C8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3A12AA" w:rsidRPr="00522CE0" w:rsidRDefault="003A1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2AA" w:rsidRPr="00522CE0" w:rsidRDefault="003A1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87A93">
        <w:rPr>
          <w:rFonts w:eastAsia="Times New Roman"/>
        </w:rPr>
        <w:t>TO AMEND SECTION 15</w:t>
      </w:r>
      <w:r w:rsidRPr="00687A93">
        <w:rPr>
          <w:rFonts w:eastAsia="Times New Roman"/>
        </w:rPr>
        <w:noBreakHyphen/>
        <w:t>39</w:t>
      </w:r>
      <w:r w:rsidRPr="00687A93">
        <w:rPr>
          <w:rFonts w:eastAsia="Times New Roman"/>
        </w:rPr>
        <w:noBreakHyphen/>
        <w:t xml:space="preserve">20, CODE OF LAWS OF SOUTH CAROLINA, 1976, RELATING TO </w:t>
      </w:r>
      <w:r>
        <w:rPr>
          <w:rFonts w:eastAsia="Times New Roman"/>
        </w:rPr>
        <w:t xml:space="preserve">THE ENFORCEMENT OF </w:t>
      </w:r>
      <w:r w:rsidRPr="00687A93">
        <w:rPr>
          <w:rFonts w:eastAsia="Times New Roman"/>
        </w:rPr>
        <w:t>JUDGMENT EXECUTIONS, SO AS TO PROVIDE FOR A NEW PROCEDURE;</w:t>
      </w:r>
      <w:r>
        <w:rPr>
          <w:rFonts w:eastAsia="Times New Roman"/>
        </w:rPr>
        <w:t xml:space="preserve"> </w:t>
      </w:r>
      <w:r w:rsidRPr="00687A93">
        <w:rPr>
          <w:rFonts w:eastAsia="Times New Roman"/>
        </w:rPr>
        <w:t>AND TO AMEND SECTION 15</w:t>
      </w:r>
      <w:r w:rsidRPr="00687A93">
        <w:rPr>
          <w:rFonts w:eastAsia="Times New Roman"/>
        </w:rPr>
        <w:noBreakHyphen/>
        <w:t>39</w:t>
      </w:r>
      <w:r w:rsidRPr="00687A93">
        <w:rPr>
          <w:rFonts w:eastAsia="Times New Roman"/>
        </w:rPr>
        <w:noBreakHyphen/>
        <w:t>30, RELATING TO ISSUANCE OF EXECUTIONS, SO AS TO</w:t>
      </w:r>
      <w:r>
        <w:rPr>
          <w:rFonts w:eastAsia="Times New Roman"/>
        </w:rPr>
        <w:t xml:space="preserve"> PROVIDE THE CIRCUMSTANCES IN WHICH A FINAL JUDGMENT SHALL HAVE ACTIVE ENERGY BEYOND THE TEN-YEAR PERIOD.</w:t>
      </w:r>
    </w:p>
    <w:p w:rsidR="003A12AA" w:rsidRDefault="003A1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A12AA" w:rsidRDefault="003A1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A12AA" w:rsidRDefault="003A1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2AA" w:rsidRPr="00EE1043" w:rsidRDefault="003A12AA" w:rsidP="0068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E1043">
        <w:rPr>
          <w:rFonts w:eastAsia="Times New Roman"/>
          <w:color w:val="000000" w:themeColor="text1"/>
          <w:u w:color="000000" w:themeColor="text1"/>
        </w:rPr>
        <w:t>SECTION</w:t>
      </w:r>
      <w:r w:rsidRPr="00EE1043">
        <w:rPr>
          <w:rFonts w:eastAsia="Times New Roman"/>
          <w:color w:val="000000" w:themeColor="text1"/>
          <w:u w:color="000000" w:themeColor="text1"/>
        </w:rPr>
        <w:tab/>
        <w:t>1.</w:t>
      </w:r>
      <w:r w:rsidRPr="00EE1043">
        <w:rPr>
          <w:rFonts w:eastAsia="Times New Roman"/>
          <w:color w:val="000000" w:themeColor="text1"/>
          <w:u w:color="000000" w:themeColor="text1"/>
        </w:rPr>
        <w:tab/>
        <w:t>Section 15</w:t>
      </w:r>
      <w:r w:rsidRPr="00EE1043">
        <w:rPr>
          <w:rFonts w:eastAsia="Times New Roman"/>
          <w:color w:val="000000" w:themeColor="text1"/>
          <w:u w:color="000000" w:themeColor="text1"/>
        </w:rPr>
        <w:noBreakHyphen/>
        <w:t>39</w:t>
      </w:r>
      <w:r w:rsidRPr="00EE1043">
        <w:rPr>
          <w:rFonts w:eastAsia="Times New Roman"/>
          <w:color w:val="000000" w:themeColor="text1"/>
          <w:u w:color="000000" w:themeColor="text1"/>
        </w:rPr>
        <w:noBreakHyphen/>
        <w:t>20 of the 1976 Code is amended to read:</w:t>
      </w:r>
    </w:p>
    <w:p w:rsidR="003A12AA" w:rsidRPr="00EE1043" w:rsidRDefault="003A12AA" w:rsidP="0068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A12AA" w:rsidRPr="00EE1043" w:rsidRDefault="003A12AA" w:rsidP="0068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E1043">
        <w:rPr>
          <w:color w:val="000000" w:themeColor="text1"/>
          <w:u w:color="000000" w:themeColor="text1"/>
        </w:rPr>
        <w:tab/>
        <w:t>“Section 15</w:t>
      </w:r>
      <w:r w:rsidRPr="00EE1043">
        <w:rPr>
          <w:color w:val="000000" w:themeColor="text1"/>
          <w:u w:color="000000" w:themeColor="text1"/>
        </w:rPr>
        <w:noBreakHyphen/>
        <w:t>39</w:t>
      </w:r>
      <w:r w:rsidRPr="00EE1043">
        <w:rPr>
          <w:color w:val="000000" w:themeColor="text1"/>
          <w:u w:color="000000" w:themeColor="text1"/>
        </w:rPr>
        <w:noBreakHyphen/>
        <w:t>20.</w:t>
      </w:r>
      <w:r w:rsidRPr="00EE1043">
        <w:rPr>
          <w:color w:val="000000" w:themeColor="text1"/>
          <w:u w:color="000000" w:themeColor="text1"/>
        </w:rPr>
        <w:tab/>
        <w:t xml:space="preserve">Writs of execution for the enforcement of judgments shall conform to this </w:t>
      </w:r>
      <w:r w:rsidRPr="00EE1043">
        <w:rPr>
          <w:strike/>
          <w:color w:val="000000" w:themeColor="text1"/>
          <w:u w:color="000000" w:themeColor="text1"/>
        </w:rPr>
        <w:t>Title</w:t>
      </w:r>
      <w:r w:rsidRPr="00EE1043">
        <w:rPr>
          <w:color w:val="000000" w:themeColor="text1"/>
          <w:u w:color="000000" w:themeColor="text1"/>
        </w:rPr>
        <w:t xml:space="preserve"> </w:t>
      </w:r>
      <w:r w:rsidRPr="00EE1043">
        <w:rPr>
          <w:color w:val="000000" w:themeColor="text1"/>
          <w:u w:val="single" w:color="000000" w:themeColor="text1"/>
        </w:rPr>
        <w:t>title</w:t>
      </w:r>
      <w:r w:rsidRPr="00EE1043">
        <w:rPr>
          <w:color w:val="000000" w:themeColor="text1"/>
          <w:u w:color="000000" w:themeColor="text1"/>
        </w:rPr>
        <w:t xml:space="preserve">. The party in whose favor judgment has been given and, in case of his death, his personal representatives duly appointed may at any time within </w:t>
      </w:r>
      <w:r w:rsidRPr="00EE1043">
        <w:rPr>
          <w:strike/>
          <w:color w:val="000000" w:themeColor="text1"/>
          <w:u w:color="000000" w:themeColor="text1"/>
        </w:rPr>
        <w:t>ten years after the entry of judgment</w:t>
      </w:r>
      <w:r w:rsidRPr="00EE1043">
        <w:rPr>
          <w:color w:val="000000" w:themeColor="text1"/>
          <w:u w:color="000000" w:themeColor="text1"/>
        </w:rPr>
        <w:t xml:space="preserve"> </w:t>
      </w:r>
      <w:r w:rsidRPr="00EE1043">
        <w:rPr>
          <w:color w:val="000000" w:themeColor="text1"/>
          <w:u w:val="single" w:color="000000" w:themeColor="text1"/>
        </w:rPr>
        <w:t>the period provided in Section 15</w:t>
      </w:r>
      <w:r w:rsidRPr="00EE1043">
        <w:rPr>
          <w:color w:val="000000" w:themeColor="text1"/>
          <w:u w:val="single" w:color="000000" w:themeColor="text1"/>
        </w:rPr>
        <w:noBreakHyphen/>
        <w:t>39</w:t>
      </w:r>
      <w:r w:rsidRPr="00EE1043">
        <w:rPr>
          <w:color w:val="000000" w:themeColor="text1"/>
          <w:u w:val="single" w:color="000000" w:themeColor="text1"/>
        </w:rPr>
        <w:noBreakHyphen/>
        <w:t>30</w:t>
      </w:r>
      <w:r w:rsidRPr="00EE1043">
        <w:rPr>
          <w:color w:val="000000" w:themeColor="text1"/>
          <w:u w:color="000000" w:themeColor="text1"/>
        </w:rPr>
        <w:t xml:space="preserve"> proceed to enforce such judgment as prescribed by this </w:t>
      </w:r>
      <w:r w:rsidRPr="00EE1043">
        <w:rPr>
          <w:strike/>
          <w:color w:val="000000" w:themeColor="text1"/>
          <w:u w:color="000000" w:themeColor="text1"/>
        </w:rPr>
        <w:t>Title</w:t>
      </w:r>
      <w:r w:rsidRPr="00EE1043">
        <w:rPr>
          <w:color w:val="000000" w:themeColor="text1"/>
          <w:u w:color="000000" w:themeColor="text1"/>
        </w:rPr>
        <w:t xml:space="preserve"> </w:t>
      </w:r>
      <w:r w:rsidRPr="00EE1043">
        <w:rPr>
          <w:color w:val="000000" w:themeColor="text1"/>
          <w:u w:val="single" w:color="000000" w:themeColor="text1"/>
        </w:rPr>
        <w:t>title</w:t>
      </w:r>
      <w:r w:rsidRPr="00EE1043">
        <w:rPr>
          <w:color w:val="000000" w:themeColor="text1"/>
          <w:u w:color="000000" w:themeColor="text1"/>
        </w:rPr>
        <w:t>.”</w:t>
      </w:r>
    </w:p>
    <w:p w:rsidR="003A12AA" w:rsidRPr="00EE1043" w:rsidRDefault="003A12AA" w:rsidP="0068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A12AA" w:rsidRPr="00EE1043" w:rsidRDefault="003A12AA" w:rsidP="0068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E1043">
        <w:rPr>
          <w:rFonts w:eastAsia="Times New Roman"/>
          <w:color w:val="000000" w:themeColor="text1"/>
          <w:u w:color="000000" w:themeColor="text1"/>
        </w:rPr>
        <w:t>SECTION</w:t>
      </w:r>
      <w:r w:rsidRPr="00EE1043">
        <w:rPr>
          <w:rFonts w:eastAsia="Times New Roman"/>
          <w:color w:val="000000" w:themeColor="text1"/>
          <w:u w:color="000000" w:themeColor="text1"/>
        </w:rPr>
        <w:tab/>
        <w:t>2.</w:t>
      </w:r>
      <w:r w:rsidRPr="00EE1043">
        <w:rPr>
          <w:rFonts w:eastAsia="Times New Roman"/>
          <w:color w:val="000000" w:themeColor="text1"/>
          <w:u w:color="000000" w:themeColor="text1"/>
        </w:rPr>
        <w:tab/>
        <w:t>Section 15</w:t>
      </w:r>
      <w:r w:rsidRPr="00EE1043">
        <w:rPr>
          <w:rFonts w:eastAsia="Times New Roman"/>
          <w:color w:val="000000" w:themeColor="text1"/>
          <w:u w:color="000000" w:themeColor="text1"/>
        </w:rPr>
        <w:noBreakHyphen/>
        <w:t>39</w:t>
      </w:r>
      <w:r w:rsidRPr="00EE1043">
        <w:rPr>
          <w:rFonts w:eastAsia="Times New Roman"/>
          <w:color w:val="000000" w:themeColor="text1"/>
          <w:u w:color="000000" w:themeColor="text1"/>
        </w:rPr>
        <w:noBreakHyphen/>
        <w:t>30 of the 1976 Code is amended to read:</w:t>
      </w:r>
    </w:p>
    <w:p w:rsidR="003A12AA" w:rsidRPr="00EE1043" w:rsidRDefault="003A12AA" w:rsidP="0068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A12AA" w:rsidRPr="00EE1043" w:rsidRDefault="003A12AA" w:rsidP="0068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1043">
        <w:rPr>
          <w:rFonts w:eastAsia="Times New Roman"/>
          <w:color w:val="000000" w:themeColor="text1"/>
          <w:u w:color="000000" w:themeColor="text1"/>
        </w:rPr>
        <w:tab/>
        <w:t>“Section 15</w:t>
      </w:r>
      <w:r w:rsidRPr="00EE1043">
        <w:rPr>
          <w:rFonts w:eastAsia="Times New Roman"/>
          <w:color w:val="000000" w:themeColor="text1"/>
          <w:u w:color="000000" w:themeColor="text1"/>
        </w:rPr>
        <w:noBreakHyphen/>
        <w:t>39</w:t>
      </w:r>
      <w:r w:rsidRPr="00EE1043">
        <w:rPr>
          <w:rFonts w:eastAsia="Times New Roman"/>
          <w:color w:val="000000" w:themeColor="text1"/>
          <w:u w:color="000000" w:themeColor="text1"/>
        </w:rPr>
        <w:noBreakHyphen/>
        <w:t>30.</w:t>
      </w:r>
      <w:r w:rsidRPr="00EE1043">
        <w:rPr>
          <w:rFonts w:eastAsia="Times New Roman"/>
          <w:color w:val="000000" w:themeColor="text1"/>
          <w:u w:color="000000" w:themeColor="text1"/>
        </w:rPr>
        <w:tab/>
      </w:r>
      <w:r w:rsidRPr="00EE1043">
        <w:rPr>
          <w:rFonts w:eastAsia="Times New Roman"/>
          <w:color w:val="000000" w:themeColor="text1"/>
          <w:u w:val="single" w:color="000000" w:themeColor="text1"/>
        </w:rPr>
        <w:t>(A)</w:t>
      </w:r>
      <w:r w:rsidRPr="00EE1043">
        <w:rPr>
          <w:rFonts w:eastAsia="Times New Roman"/>
          <w:color w:val="000000" w:themeColor="text1"/>
          <w:u w:color="000000" w:themeColor="text1"/>
        </w:rPr>
        <w:tab/>
      </w:r>
      <w:r w:rsidRPr="00EE1043">
        <w:rPr>
          <w:color w:val="000000" w:themeColor="text1"/>
          <w:u w:color="000000" w:themeColor="text1"/>
        </w:rPr>
        <w:t>Executions may issue upon final judgments or decrees at any time within ten years from the date of the original entry thereof and shall have active energy during such period, without any renewal or renewals thereof, and this whether any return may or may not have been made during such period on such executions.</w:t>
      </w:r>
    </w:p>
    <w:p w:rsidR="003A12AA" w:rsidRPr="00EE1043" w:rsidRDefault="003A12AA" w:rsidP="0068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EE1043">
        <w:rPr>
          <w:rFonts w:eastAsia="Calibri"/>
          <w:color w:val="000000" w:themeColor="text1"/>
          <w:u w:color="000000" w:themeColor="text1"/>
        </w:rPr>
        <w:tab/>
      </w:r>
      <w:r w:rsidRPr="00EE1043">
        <w:rPr>
          <w:rFonts w:eastAsia="Calibri"/>
          <w:color w:val="000000" w:themeColor="text1"/>
          <w:u w:val="single" w:color="000000" w:themeColor="text1"/>
        </w:rPr>
        <w:t>(B)</w:t>
      </w:r>
      <w:r w:rsidRPr="00EE1043">
        <w:rPr>
          <w:rFonts w:eastAsia="Calibri"/>
          <w:color w:val="000000" w:themeColor="text1"/>
          <w:u w:color="000000" w:themeColor="text1"/>
        </w:rPr>
        <w:tab/>
      </w:r>
      <w:r w:rsidRPr="00EE1043">
        <w:rPr>
          <w:rFonts w:eastAsia="Calibri"/>
          <w:color w:val="000000" w:themeColor="text1"/>
          <w:u w:val="single" w:color="000000" w:themeColor="text1"/>
        </w:rPr>
        <w:t>Notwithstanding subsection (A), an execution may issue upon such final judgment or decree and shall ha</w:t>
      </w:r>
      <w:r>
        <w:rPr>
          <w:rFonts w:eastAsia="Calibri"/>
          <w:color w:val="000000" w:themeColor="text1"/>
          <w:u w:val="single" w:color="000000" w:themeColor="text1"/>
        </w:rPr>
        <w:t>ve active energy beyond the ten-</w:t>
      </w:r>
      <w:r w:rsidRPr="00EE1043">
        <w:rPr>
          <w:rFonts w:eastAsia="Calibri"/>
          <w:color w:val="000000" w:themeColor="text1"/>
          <w:u w:val="single" w:color="000000" w:themeColor="text1"/>
        </w:rPr>
        <w:t>year period against real property or any other property, including, but not limited to, a membership interest in a limited liability company or corporate stock that represents an ownership interest in the real property, when:</w:t>
      </w:r>
    </w:p>
    <w:p w:rsidR="003A12AA" w:rsidRPr="00EE1043" w:rsidRDefault="003A12AA" w:rsidP="0068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EE1043">
        <w:rPr>
          <w:rFonts w:eastAsia="Calibri"/>
          <w:color w:val="000000" w:themeColor="text1"/>
          <w:u w:color="000000" w:themeColor="text1"/>
        </w:rPr>
        <w:tab/>
      </w:r>
      <w:r w:rsidRPr="00EE1043">
        <w:rPr>
          <w:rFonts w:eastAsia="Calibri"/>
          <w:color w:val="000000" w:themeColor="text1"/>
          <w:u w:color="000000" w:themeColor="text1"/>
        </w:rPr>
        <w:tab/>
      </w:r>
      <w:r w:rsidRPr="00EE1043">
        <w:rPr>
          <w:rFonts w:eastAsia="Calibri"/>
          <w:color w:val="000000" w:themeColor="text1"/>
          <w:u w:val="single" w:color="000000" w:themeColor="text1"/>
        </w:rPr>
        <w:t>(1)</w:t>
      </w:r>
      <w:r w:rsidRPr="00EE1043">
        <w:rPr>
          <w:rFonts w:eastAsia="Calibri"/>
          <w:color w:val="000000" w:themeColor="text1"/>
          <w:u w:color="000000" w:themeColor="text1"/>
        </w:rPr>
        <w:tab/>
      </w:r>
      <w:r w:rsidRPr="00EE1043">
        <w:rPr>
          <w:rFonts w:eastAsia="Calibri"/>
          <w:color w:val="000000" w:themeColor="text1"/>
          <w:u w:val="single" w:color="000000" w:themeColor="text1"/>
        </w:rPr>
        <w:t>the judgment creditor has commenced proceedings pursuant to Section 15</w:t>
      </w:r>
      <w:r w:rsidRPr="00EE1043">
        <w:rPr>
          <w:rFonts w:eastAsia="Calibri"/>
          <w:color w:val="000000" w:themeColor="text1"/>
          <w:u w:val="single" w:color="000000" w:themeColor="text1"/>
        </w:rPr>
        <w:noBreakHyphen/>
        <w:t>39</w:t>
      </w:r>
      <w:r w:rsidRPr="00EE1043">
        <w:rPr>
          <w:rFonts w:eastAsia="Calibri"/>
          <w:color w:val="000000" w:themeColor="text1"/>
          <w:u w:val="single" w:color="000000" w:themeColor="text1"/>
        </w:rPr>
        <w:noBreakHyphen/>
        <w:t xml:space="preserve">310 with respect to such final judgment or decree, within ten years from the date of the original entry of the final judgment or decree; </w:t>
      </w:r>
    </w:p>
    <w:p w:rsidR="003A12AA" w:rsidRPr="00EE1043" w:rsidRDefault="003A12AA" w:rsidP="0068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EE1043">
        <w:rPr>
          <w:rFonts w:eastAsia="Calibri"/>
          <w:color w:val="000000" w:themeColor="text1"/>
          <w:u w:color="000000" w:themeColor="text1"/>
        </w:rPr>
        <w:tab/>
      </w:r>
      <w:r w:rsidRPr="00EE1043">
        <w:rPr>
          <w:rFonts w:eastAsia="Calibri"/>
          <w:color w:val="000000" w:themeColor="text1"/>
          <w:u w:color="000000" w:themeColor="text1"/>
        </w:rPr>
        <w:tab/>
      </w:r>
      <w:r w:rsidRPr="00EE1043">
        <w:rPr>
          <w:rFonts w:eastAsia="Calibri"/>
          <w:color w:val="000000" w:themeColor="text1"/>
          <w:u w:val="single" w:color="000000" w:themeColor="text1"/>
        </w:rPr>
        <w:t>(2)</w:t>
      </w:r>
      <w:r w:rsidRPr="00EE1043">
        <w:rPr>
          <w:rFonts w:eastAsia="Calibri"/>
          <w:color w:val="000000" w:themeColor="text1"/>
          <w:u w:color="000000" w:themeColor="text1"/>
        </w:rPr>
        <w:tab/>
      </w:r>
      <w:r w:rsidRPr="00EE1043">
        <w:rPr>
          <w:rFonts w:eastAsia="Calibri"/>
          <w:color w:val="000000" w:themeColor="text1"/>
          <w:u w:val="single" w:color="000000" w:themeColor="text1"/>
        </w:rPr>
        <w:t>as a result of such proceedings, the judgment creditor has commenced an action to set aside a transfer of specific real property pursuant</w:t>
      </w:r>
      <w:r>
        <w:rPr>
          <w:rFonts w:eastAsia="Calibri"/>
          <w:color w:val="000000" w:themeColor="text1"/>
          <w:u w:val="single" w:color="000000" w:themeColor="text1"/>
        </w:rPr>
        <w:t xml:space="preserve"> to</w:t>
      </w:r>
      <w:r w:rsidRPr="00EE1043">
        <w:rPr>
          <w:rFonts w:eastAsia="Calibri"/>
          <w:color w:val="000000" w:themeColor="text1"/>
          <w:u w:val="single" w:color="000000" w:themeColor="text1"/>
        </w:rPr>
        <w:t xml:space="preserve"> Section 27</w:t>
      </w:r>
      <w:r w:rsidRPr="00EE1043">
        <w:rPr>
          <w:rFonts w:eastAsia="Calibri"/>
          <w:color w:val="000000" w:themeColor="text1"/>
          <w:u w:val="single" w:color="000000" w:themeColor="text1"/>
        </w:rPr>
        <w:noBreakHyphen/>
        <w:t>23</w:t>
      </w:r>
      <w:r w:rsidRPr="00EE1043">
        <w:rPr>
          <w:rFonts w:eastAsia="Calibri"/>
          <w:color w:val="000000" w:themeColor="text1"/>
          <w:u w:val="single" w:color="000000" w:themeColor="text1"/>
        </w:rPr>
        <w:noBreakHyphen/>
        <w:t>10 or Section 27</w:t>
      </w:r>
      <w:r w:rsidRPr="00EE1043">
        <w:rPr>
          <w:rFonts w:eastAsia="Calibri"/>
          <w:color w:val="000000" w:themeColor="text1"/>
          <w:u w:val="single" w:color="000000" w:themeColor="text1"/>
        </w:rPr>
        <w:noBreakHyphen/>
        <w:t>23</w:t>
      </w:r>
      <w:r w:rsidRPr="00EE1043">
        <w:rPr>
          <w:rFonts w:eastAsia="Calibri"/>
          <w:color w:val="000000" w:themeColor="text1"/>
          <w:u w:val="single" w:color="000000" w:themeColor="text1"/>
        </w:rPr>
        <w:noBreakHyphen/>
        <w:t>20; and</w:t>
      </w:r>
    </w:p>
    <w:p w:rsidR="003A12AA" w:rsidRDefault="003A12AA" w:rsidP="0068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u w:color="000000" w:themeColor="text1"/>
        </w:rPr>
      </w:pPr>
      <w:r w:rsidRPr="00EE1043">
        <w:rPr>
          <w:rFonts w:eastAsia="Calibri"/>
          <w:color w:val="000000" w:themeColor="text1"/>
          <w:u w:color="000000" w:themeColor="text1"/>
        </w:rPr>
        <w:tab/>
      </w:r>
      <w:r w:rsidRPr="00EE1043">
        <w:rPr>
          <w:rFonts w:eastAsia="Calibri"/>
          <w:color w:val="000000" w:themeColor="text1"/>
          <w:u w:color="000000" w:themeColor="text1"/>
        </w:rPr>
        <w:tab/>
      </w:r>
      <w:r w:rsidRPr="00EE1043">
        <w:rPr>
          <w:rFonts w:eastAsia="Calibri"/>
          <w:color w:val="000000" w:themeColor="text1"/>
          <w:u w:val="single" w:color="000000" w:themeColor="text1"/>
        </w:rPr>
        <w:t>(3)</w:t>
      </w:r>
      <w:r w:rsidRPr="00EE1043">
        <w:rPr>
          <w:rFonts w:eastAsia="Calibri"/>
          <w:color w:val="000000" w:themeColor="text1"/>
          <w:u w:color="000000" w:themeColor="text1"/>
        </w:rPr>
        <w:tab/>
      </w:r>
      <w:r w:rsidRPr="00EE1043">
        <w:rPr>
          <w:rFonts w:eastAsia="Calibri"/>
          <w:color w:val="000000" w:themeColor="text1"/>
          <w:u w:val="single" w:color="000000" w:themeColor="text1"/>
        </w:rPr>
        <w:t>the judgment creditor obtains a final judgment in the action setting aside the transfer of the real property.</w:t>
      </w:r>
      <w:r w:rsidRPr="00EE1043">
        <w:rPr>
          <w:rFonts w:eastAsia="Calibri"/>
          <w:color w:val="000000" w:themeColor="text1"/>
          <w:u w:color="000000" w:themeColor="text1"/>
        </w:rPr>
        <w:t>”</w:t>
      </w:r>
    </w:p>
    <w:p w:rsidR="003A12AA" w:rsidRDefault="003A12AA" w:rsidP="0068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u w:color="000000" w:themeColor="text1"/>
        </w:rPr>
      </w:pPr>
    </w:p>
    <w:p w:rsidR="003A12AA" w:rsidRPr="00522CE0" w:rsidRDefault="003A12AA" w:rsidP="0068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3A12AA" w:rsidRDefault="003A12A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8254C" w:rsidRDefault="00F8254C" w:rsidP="003A1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F8254C" w:rsidSect="00262A17">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63FF" w:rsidRDefault="007963FF" w:rsidP="00522CE0">
      <w:r>
        <w:separator/>
      </w:r>
    </w:p>
  </w:endnote>
  <w:endnote w:type="continuationSeparator" w:id="0">
    <w:p w:rsidR="007963FF" w:rsidRDefault="007963F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F3C43DC-7EEE-4C5A-92D4-12802B9768CD}"/>
    <w:embedBold r:id="rId2" w:fontKey="{1855EA63-1CD5-4603-AD9D-0BDD9A98F4D1}"/>
  </w:font>
  <w:font w:name="Calibri">
    <w:panose1 w:val="020F0502020204030204"/>
    <w:charset w:val="00"/>
    <w:family w:val="swiss"/>
    <w:pitch w:val="variable"/>
    <w:sig w:usb0="E0002EFF" w:usb1="C000247B" w:usb2="00000009" w:usb3="00000000" w:csb0="000001FF" w:csb1="00000000"/>
    <w:embedRegular r:id="rId3" w:fontKey="{0370A383-2AB3-419A-8221-8E67E5E8E3FC}"/>
    <w:embedBold r:id="rId4" w:fontKey="{52DD2812-354E-40C2-90D3-117B8C666410}"/>
  </w:font>
  <w:font w:name="Cambria">
    <w:panose1 w:val="02040503050406030204"/>
    <w:charset w:val="00"/>
    <w:family w:val="roman"/>
    <w:pitch w:val="variable"/>
    <w:sig w:usb0="E00006FF" w:usb1="420024FF" w:usb2="02000000" w:usb3="00000000" w:csb0="0000019F" w:csb1="00000000"/>
    <w:embedRegular r:id="rId5" w:fontKey="{2C1AF3BE-E517-4CBA-A6D8-5703A923D2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2AA" w:rsidRPr="00C819F3" w:rsidRDefault="003A12AA" w:rsidP="00C819F3">
    <w:pPr>
      <w:pStyle w:val="Footer"/>
      <w:tabs>
        <w:tab w:val="clear" w:pos="4680"/>
        <w:tab w:val="clear" w:pos="9360"/>
        <w:tab w:val="center" w:pos="2995"/>
      </w:tabs>
      <w:spacing w:before="120"/>
    </w:pPr>
    <w:r>
      <w:t>[983-</w:t>
    </w:r>
    <w:r>
      <w:fldChar w:fldCharType="begin"/>
    </w:r>
    <w:r>
      <w:instrText xml:space="preserve"> PAGE  \* MERGEFORMAT </w:instrText>
    </w:r>
    <w:r>
      <w:fldChar w:fldCharType="separate"/>
    </w:r>
    <w:r w:rsidR="007467C4">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A17" w:rsidRPr="00C819F3" w:rsidRDefault="003A12AA" w:rsidP="00C819F3">
    <w:pPr>
      <w:pStyle w:val="Footer"/>
      <w:tabs>
        <w:tab w:val="clear" w:pos="4680"/>
        <w:tab w:val="clear" w:pos="9360"/>
        <w:tab w:val="center" w:pos="2995"/>
      </w:tabs>
      <w:spacing w:before="120"/>
    </w:pPr>
    <w:r>
      <w:t>[983]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63FF" w:rsidRDefault="007963FF" w:rsidP="00522CE0">
      <w:r>
        <w:separator/>
      </w:r>
    </w:p>
  </w:footnote>
  <w:footnote w:type="continuationSeparator" w:id="0">
    <w:p w:rsidR="007963FF" w:rsidRDefault="007963F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80.SW"/>
    <w:docVar w:name="CoverAttorneyInitials" w:val="SW"/>
    <w:docVar w:name="CoverAttorneyLastName" w:val="Wilkinson"/>
    <w:docVar w:name="CoverBillType" w:val="b"/>
    <w:docVar w:name="DraftFileName" w:val="JUD0080.SW.DOCX"/>
    <w:docVar w:name="DraftStenoName" w:val="Henry"/>
    <w:docVar w:name="dvBillNumber" w:val="983"/>
    <w:docVar w:name="dvBillNumberPrefix" w:val="S. "/>
    <w:docVar w:name="dvOriginalBody" w:val="Senate"/>
    <w:docVar w:name="fulldraftpath" w:val="L:\S-JUD\BILLS\Rankin\JUD0080.SW.DOCX"/>
    <w:docVar w:name="NameofBody" w:val="S"/>
    <w:docVar w:name="SenatorFolderName" w:val="Rankin"/>
    <w:docVar w:name="VGROUP2" w:val="S-JUD"/>
  </w:docVars>
  <w:rsids>
    <w:rsidRoot w:val="007963FF"/>
    <w:rsid w:val="000141EB"/>
    <w:rsid w:val="00042AC1"/>
    <w:rsid w:val="00046516"/>
    <w:rsid w:val="000A4D08"/>
    <w:rsid w:val="000A6988"/>
    <w:rsid w:val="000A7362"/>
    <w:rsid w:val="000B0720"/>
    <w:rsid w:val="000B5EAF"/>
    <w:rsid w:val="000E473B"/>
    <w:rsid w:val="000F002B"/>
    <w:rsid w:val="000F02BF"/>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2E203D"/>
    <w:rsid w:val="002E7B2B"/>
    <w:rsid w:val="00307C2B"/>
    <w:rsid w:val="0031409E"/>
    <w:rsid w:val="0032109A"/>
    <w:rsid w:val="00333DF1"/>
    <w:rsid w:val="0033541C"/>
    <w:rsid w:val="00364389"/>
    <w:rsid w:val="003A12AA"/>
    <w:rsid w:val="003D6A5D"/>
    <w:rsid w:val="003D6E2B"/>
    <w:rsid w:val="003E7597"/>
    <w:rsid w:val="00412C9E"/>
    <w:rsid w:val="0042257B"/>
    <w:rsid w:val="0042294C"/>
    <w:rsid w:val="00424119"/>
    <w:rsid w:val="00450668"/>
    <w:rsid w:val="00452CD7"/>
    <w:rsid w:val="00461BAA"/>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766EB"/>
    <w:rsid w:val="00581497"/>
    <w:rsid w:val="00586B30"/>
    <w:rsid w:val="0058748C"/>
    <w:rsid w:val="00593361"/>
    <w:rsid w:val="005A5017"/>
    <w:rsid w:val="005A648C"/>
    <w:rsid w:val="005F15E4"/>
    <w:rsid w:val="00600221"/>
    <w:rsid w:val="00606D23"/>
    <w:rsid w:val="00617BF0"/>
    <w:rsid w:val="00641A16"/>
    <w:rsid w:val="006431BA"/>
    <w:rsid w:val="00687A93"/>
    <w:rsid w:val="006B4B3C"/>
    <w:rsid w:val="006C74EA"/>
    <w:rsid w:val="00720D40"/>
    <w:rsid w:val="0073026D"/>
    <w:rsid w:val="007311B4"/>
    <w:rsid w:val="007318D4"/>
    <w:rsid w:val="00746551"/>
    <w:rsid w:val="007467C4"/>
    <w:rsid w:val="0076552B"/>
    <w:rsid w:val="00765784"/>
    <w:rsid w:val="00785E76"/>
    <w:rsid w:val="007963FF"/>
    <w:rsid w:val="007A4390"/>
    <w:rsid w:val="007C65B0"/>
    <w:rsid w:val="007E3B8F"/>
    <w:rsid w:val="007E5CB7"/>
    <w:rsid w:val="00814EED"/>
    <w:rsid w:val="008314D2"/>
    <w:rsid w:val="00834860"/>
    <w:rsid w:val="00840C77"/>
    <w:rsid w:val="00866858"/>
    <w:rsid w:val="008804AE"/>
    <w:rsid w:val="008849DB"/>
    <w:rsid w:val="00894939"/>
    <w:rsid w:val="008B2F42"/>
    <w:rsid w:val="008E185F"/>
    <w:rsid w:val="008E5870"/>
    <w:rsid w:val="008F023B"/>
    <w:rsid w:val="008F7524"/>
    <w:rsid w:val="00904E16"/>
    <w:rsid w:val="00927C62"/>
    <w:rsid w:val="00931A96"/>
    <w:rsid w:val="00976186"/>
    <w:rsid w:val="00983951"/>
    <w:rsid w:val="00984124"/>
    <w:rsid w:val="00984640"/>
    <w:rsid w:val="00995C37"/>
    <w:rsid w:val="009A7B72"/>
    <w:rsid w:val="009C118A"/>
    <w:rsid w:val="009C2F97"/>
    <w:rsid w:val="009C6FD3"/>
    <w:rsid w:val="00A02011"/>
    <w:rsid w:val="00A1612A"/>
    <w:rsid w:val="00A23DCF"/>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002FF"/>
    <w:rsid w:val="00C23348"/>
    <w:rsid w:val="00C61FCE"/>
    <w:rsid w:val="00C6454A"/>
    <w:rsid w:val="00C74052"/>
    <w:rsid w:val="00C819F3"/>
    <w:rsid w:val="00CA287A"/>
    <w:rsid w:val="00CB187A"/>
    <w:rsid w:val="00CD1843"/>
    <w:rsid w:val="00CD7C71"/>
    <w:rsid w:val="00D05246"/>
    <w:rsid w:val="00D1088B"/>
    <w:rsid w:val="00D123BB"/>
    <w:rsid w:val="00D156D2"/>
    <w:rsid w:val="00D76415"/>
    <w:rsid w:val="00D77EC0"/>
    <w:rsid w:val="00D86943"/>
    <w:rsid w:val="00D97B2B"/>
    <w:rsid w:val="00DA47B9"/>
    <w:rsid w:val="00E677A1"/>
    <w:rsid w:val="00E91E2F"/>
    <w:rsid w:val="00EA3546"/>
    <w:rsid w:val="00EB1AAC"/>
    <w:rsid w:val="00EB47AE"/>
    <w:rsid w:val="00EC34E1"/>
    <w:rsid w:val="00EC5483"/>
    <w:rsid w:val="00ED0AE1"/>
    <w:rsid w:val="00F0234A"/>
    <w:rsid w:val="00F52959"/>
    <w:rsid w:val="00F532D4"/>
    <w:rsid w:val="00F55884"/>
    <w:rsid w:val="00F63E98"/>
    <w:rsid w:val="00F8254C"/>
    <w:rsid w:val="00FB5399"/>
    <w:rsid w:val="00FC0450"/>
    <w:rsid w:val="00FC0D36"/>
    <w:rsid w:val="00FC536C"/>
    <w:rsid w:val="00FE3ACB"/>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33D9DB93-E437-4B32-A859-86F9CB70F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F8254C"/>
    <w:rPr>
      <w:color w:val="0000FF" w:themeColor="hyperlink"/>
      <w:u w:val="single"/>
    </w:rPr>
  </w:style>
  <w:style w:type="paragraph" w:styleId="NoSpacing">
    <w:name w:val="No Spacing"/>
    <w:uiPriority w:val="1"/>
    <w:qFormat/>
    <w:rsid w:val="003A12AA"/>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304.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200114.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14.docx" TargetMode="External"/><Relationship Id="rId11" Type="http://schemas.openxmlformats.org/officeDocument/2006/relationships/hyperlink" Target="file:///p:\pprever\2019-20\983_20200304.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19-20\983_20200114.docx" TargetMode="External"/><Relationship Id="rId4" Type="http://schemas.openxmlformats.org/officeDocument/2006/relationships/footnotes" Target="footnotes.xml"/><Relationship Id="rId9" Type="http://schemas.openxmlformats.org/officeDocument/2006/relationships/hyperlink" Target="http://www.scstatehouse.gov/billsearch.php?billnumbers=983&amp;session=123&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A8D832B4</Template>
  <TotalTime>0</TotalTime>
  <Pages>3</Pages>
  <Words>932</Words>
  <Characters>5315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983: Subject not yet available - South Carolina Legislature Online</dc:title>
  <dc:subject/>
  <dc:creator>Maxine Henry</dc:creator>
  <cp:keywords/>
  <dc:description/>
  <cp:lastModifiedBy>S Wilson</cp:lastModifiedBy>
  <cp:revision>2</cp:revision>
  <dcterms:created xsi:type="dcterms:W3CDTF">2020-03-05T14:52:00Z</dcterms:created>
  <dcterms:modified xsi:type="dcterms:W3CDTF">2020-03-05T14:52:00Z</dcterms:modified>
</cp:coreProperties>
</file>