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4BBB" w:rsidRDefault="00204BBB" w:rsidP="003845F0">
      <w:pPr>
        <w:tabs>
          <w:tab w:val="right" w:pos="5933"/>
        </w:tabs>
        <w:suppressAutoHyphens/>
      </w:pPr>
      <w:r>
        <w:t>AMENDED</w:t>
      </w:r>
    </w:p>
    <w:p w:rsidR="00204BBB" w:rsidRDefault="00204BBB" w:rsidP="003845F0">
      <w:pPr>
        <w:tabs>
          <w:tab w:val="right" w:pos="5933"/>
        </w:tabs>
        <w:suppressAutoHyphens/>
      </w:pPr>
      <w:r>
        <w:t>May 8, 2019</w:t>
      </w:r>
    </w:p>
    <w:p w:rsidR="00204BBB" w:rsidRDefault="00204BBB" w:rsidP="003845F0">
      <w:pPr>
        <w:tabs>
          <w:tab w:val="right" w:pos="5933"/>
        </w:tabs>
        <w:suppressAutoHyphens/>
      </w:pPr>
    </w:p>
    <w:p w:rsidR="003845F0" w:rsidRPr="003845F0" w:rsidRDefault="003845F0" w:rsidP="003845F0">
      <w:pPr>
        <w:tabs>
          <w:tab w:val="right" w:pos="5933"/>
        </w:tabs>
        <w:suppressAutoHyphens/>
      </w:pPr>
      <w:r>
        <w:tab/>
      </w:r>
      <w:r>
        <w:rPr>
          <w:b/>
          <w:sz w:val="36"/>
        </w:rPr>
        <w:t>H. 3036</w:t>
      </w:r>
    </w:p>
    <w:p w:rsidR="003845F0" w:rsidRDefault="003845F0"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5F0" w:rsidRDefault="003845F0" w:rsidP="0038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McCravy, Parks, West, Gagnon, Martin, Hiott, Burns, Huggins, G.R. Smith, Trantham, Ridgeway, Thayer, W. Cox, Toole, Johnson, Jefferson, Clary, Gilliard and Henegan</w:t>
      </w:r>
    </w:p>
    <w:p w:rsidR="003845F0" w:rsidRDefault="003845F0"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5F0" w:rsidRDefault="003845F0"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204BBB">
        <w:t>5/8</w:t>
      </w:r>
      <w:r>
        <w:t>/19--S.</w:t>
      </w:r>
    </w:p>
    <w:p w:rsidR="003845F0" w:rsidRDefault="003845F0"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17, 2019.</w:t>
      </w:r>
    </w:p>
    <w:p w:rsidR="003845F0" w:rsidRPr="003845F0" w:rsidRDefault="003845F0" w:rsidP="0038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845F0" w:rsidRDefault="003845F0"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5F0" w:rsidRDefault="003845F0"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845F0" w:rsidSect="001660FB">
          <w:footerReference w:type="default" r:id="rId8"/>
          <w:pgSz w:w="12240" w:h="15840" w:code="1"/>
          <w:pgMar w:top="1008" w:right="4680" w:bottom="3499" w:left="1627" w:header="720" w:footer="3499" w:gutter="0"/>
          <w:lnNumType w:countBy="1" w:distance="173"/>
          <w:pgNumType w:start="1"/>
          <w:cols w:space="720"/>
          <w:noEndnote/>
          <w:docGrid w:linePitch="360"/>
        </w:sectPr>
      </w:pPr>
    </w:p>
    <w:p w:rsidR="000268AE" w:rsidRDefault="000268AE"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D59" w:rsidRDefault="008B3D59"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D59" w:rsidRDefault="008B3D59"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D59" w:rsidRDefault="008B3D59"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D59" w:rsidRDefault="008B3D59"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D59" w:rsidRDefault="008B3D59"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D59" w:rsidRDefault="008B3D59"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B0AD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7A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371A2">
        <w:rPr>
          <w:color w:val="000000" w:themeColor="text1"/>
          <w:u w:color="000000" w:themeColor="text1"/>
        </w:rPr>
        <w:t xml:space="preserve">TO AMEND THE CODE OF LAWS OF SOUTH CAROLINA, 1976, SO AS TO </w:t>
      </w:r>
      <w:r w:rsidR="00CF4CDB">
        <w:rPr>
          <w:color w:val="000000" w:themeColor="text1"/>
          <w:u w:color="000000" w:themeColor="text1"/>
        </w:rPr>
        <w:t xml:space="preserve">ENACT </w:t>
      </w:r>
      <w:r w:rsidR="00B40E84">
        <w:rPr>
          <w:color w:val="000000" w:themeColor="text1"/>
          <w:u w:color="000000" w:themeColor="text1"/>
        </w:rPr>
        <w:t>“</w:t>
      </w:r>
      <w:r w:rsidR="00CF4CDB">
        <w:rPr>
          <w:color w:val="000000" w:themeColor="text1"/>
          <w:u w:color="000000" w:themeColor="text1"/>
        </w:rPr>
        <w:t>DYLAN</w:t>
      </w:r>
      <w:r w:rsidR="00973EC8" w:rsidRPr="00973EC8">
        <w:rPr>
          <w:color w:val="000000" w:themeColor="text1"/>
          <w:u w:color="000000" w:themeColor="text1"/>
        </w:rPr>
        <w:t>’</w:t>
      </w:r>
      <w:r w:rsidR="00CF4CDB">
        <w:rPr>
          <w:color w:val="000000" w:themeColor="text1"/>
          <w:u w:color="000000" w:themeColor="text1"/>
        </w:rPr>
        <w:t>S LAW</w:t>
      </w:r>
      <w:r w:rsidR="00B40E84">
        <w:rPr>
          <w:color w:val="000000" w:themeColor="text1"/>
          <w:u w:color="000000" w:themeColor="text1"/>
        </w:rPr>
        <w:t>”</w:t>
      </w:r>
      <w:r w:rsidR="00167786">
        <w:rPr>
          <w:color w:val="000000" w:themeColor="text1"/>
          <w:u w:color="000000" w:themeColor="text1"/>
        </w:rPr>
        <w:t>;</w:t>
      </w:r>
      <w:r w:rsidR="00CF4CDB">
        <w:rPr>
          <w:color w:val="000000" w:themeColor="text1"/>
          <w:u w:color="000000" w:themeColor="text1"/>
        </w:rPr>
        <w:t xml:space="preserve"> AND</w:t>
      </w:r>
      <w:r w:rsidR="00F83C17">
        <w:rPr>
          <w:color w:val="000000" w:themeColor="text1"/>
          <w:u w:color="000000" w:themeColor="text1"/>
        </w:rPr>
        <w:t xml:space="preserve"> </w:t>
      </w:r>
      <w:r w:rsidR="00F83C17" w:rsidRPr="004371A2">
        <w:rPr>
          <w:color w:val="000000" w:themeColor="text1"/>
          <w:u w:color="000000" w:themeColor="text1"/>
        </w:rPr>
        <w:t>BY ADDING SECTION 44</w:t>
      </w:r>
      <w:r w:rsidR="00973EC8">
        <w:rPr>
          <w:color w:val="000000" w:themeColor="text1"/>
          <w:u w:color="000000" w:themeColor="text1"/>
        </w:rPr>
        <w:noBreakHyphen/>
      </w:r>
      <w:r w:rsidR="00F83C17" w:rsidRPr="004371A2">
        <w:rPr>
          <w:color w:val="000000" w:themeColor="text1"/>
          <w:u w:color="000000" w:themeColor="text1"/>
        </w:rPr>
        <w:t>37</w:t>
      </w:r>
      <w:r w:rsidR="00973EC8">
        <w:rPr>
          <w:color w:val="000000" w:themeColor="text1"/>
          <w:u w:color="000000" w:themeColor="text1"/>
        </w:rPr>
        <w:noBreakHyphen/>
      </w:r>
      <w:r w:rsidR="00F83C17" w:rsidRPr="004371A2">
        <w:rPr>
          <w:color w:val="000000" w:themeColor="text1"/>
          <w:u w:color="000000" w:themeColor="text1"/>
        </w:rPr>
        <w:t xml:space="preserve">35 </w:t>
      </w:r>
      <w:r w:rsidR="00F83C17">
        <w:rPr>
          <w:color w:val="000000" w:themeColor="text1"/>
          <w:u w:color="000000" w:themeColor="text1"/>
        </w:rPr>
        <w:t xml:space="preserve">SO AS </w:t>
      </w:r>
      <w:r w:rsidR="00CF4CDB">
        <w:rPr>
          <w:color w:val="000000" w:themeColor="text1"/>
          <w:u w:color="000000" w:themeColor="text1"/>
        </w:rPr>
        <w:t xml:space="preserve">TO </w:t>
      </w:r>
      <w:r w:rsidRPr="004371A2">
        <w:rPr>
          <w:color w:val="000000" w:themeColor="text1"/>
          <w:u w:color="000000" w:themeColor="text1"/>
        </w:rPr>
        <w:t xml:space="preserve">REQUIRE </w:t>
      </w:r>
      <w:r w:rsidR="00D3649E">
        <w:rPr>
          <w:color w:val="000000" w:themeColor="text1"/>
          <w:u w:color="000000" w:themeColor="text1"/>
        </w:rPr>
        <w:t xml:space="preserve">NEONATAL TESTING </w:t>
      </w:r>
      <w:r w:rsidRPr="004371A2">
        <w:rPr>
          <w:color w:val="000000" w:themeColor="text1"/>
          <w:u w:color="000000" w:themeColor="text1"/>
        </w:rPr>
        <w:t xml:space="preserve">FOR </w:t>
      </w:r>
      <w:r w:rsidR="00C061DD">
        <w:rPr>
          <w:color w:val="000000" w:themeColor="text1"/>
          <w:u w:color="000000" w:themeColor="text1"/>
        </w:rPr>
        <w:t>CERTAIN GENETIC DISORDERS AND</w:t>
      </w:r>
      <w:r w:rsidRPr="004371A2">
        <w:rPr>
          <w:color w:val="000000" w:themeColor="text1"/>
          <w:u w:color="000000" w:themeColor="text1"/>
        </w:rPr>
        <w:t xml:space="preserve"> DISEASE</w:t>
      </w:r>
      <w:r w:rsidR="00C061DD">
        <w:rPr>
          <w:color w:val="000000" w:themeColor="text1"/>
          <w:u w:color="000000" w:themeColor="text1"/>
        </w:rPr>
        <w:t>S</w:t>
      </w:r>
      <w:r w:rsidR="007D602C">
        <w:rPr>
          <w:color w:val="000000" w:themeColor="text1"/>
          <w:u w:color="000000" w:themeColor="text1"/>
        </w:rPr>
        <w:t xml:space="preserve"> AND FOR OTHER PURPOSES</w:t>
      </w:r>
      <w:r w:rsidRPr="004371A2">
        <w:rPr>
          <w:color w:val="000000" w:themeColor="text1"/>
          <w:u w:color="000000" w:themeColor="text1"/>
        </w:rPr>
        <w:t>.</w:t>
      </w:r>
      <w:bookmarkEnd w:id="1"/>
    </w:p>
    <w:p w:rsidR="00B868B8" w:rsidRDefault="00204B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04BBB" w:rsidRDefault="00204B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AD8" w:rsidRDefault="006B0A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B0AD8" w:rsidRDefault="006B0A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8B8" w:rsidRDefault="00B868B8" w:rsidP="00B86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54E">
        <w:t>SECTION</w:t>
      </w:r>
      <w:r w:rsidRPr="0052554E">
        <w:tab/>
      </w:r>
      <w:r w:rsidR="00204BBB">
        <w:t>1</w:t>
      </w:r>
      <w:r w:rsidRPr="0052554E">
        <w:t>.</w:t>
      </w:r>
      <w:r w:rsidRPr="0052554E">
        <w:tab/>
      </w:r>
      <w:r w:rsidRPr="0052554E">
        <w:rPr>
          <w:u w:color="000000" w:themeColor="text1"/>
        </w:rPr>
        <w:t>Chapter 37, Title 44 of the 1976 Code is amended by adding:</w:t>
      </w:r>
    </w:p>
    <w:p w:rsidR="00B868B8" w:rsidRPr="0052554E" w:rsidRDefault="00B868B8" w:rsidP="00B86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68B8" w:rsidRPr="0052554E" w:rsidRDefault="00B868B8" w:rsidP="00B86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54E">
        <w:rPr>
          <w:u w:color="000000" w:themeColor="text1"/>
        </w:rPr>
        <w:tab/>
        <w:t>“Section 44</w:t>
      </w:r>
      <w:r w:rsidRPr="0052554E">
        <w:rPr>
          <w:u w:color="000000" w:themeColor="text1"/>
        </w:rPr>
        <w:noBreakHyphen/>
        <w:t>37</w:t>
      </w:r>
      <w:r w:rsidRPr="0052554E">
        <w:rPr>
          <w:u w:color="000000" w:themeColor="text1"/>
        </w:rPr>
        <w:noBreakHyphen/>
        <w:t>35.</w:t>
      </w:r>
      <w:r w:rsidRPr="0052554E">
        <w:rPr>
          <w:u w:color="000000" w:themeColor="text1"/>
        </w:rPr>
        <w:tab/>
        <w:t>(A)</w:t>
      </w:r>
      <w:r w:rsidRPr="0052554E">
        <w:rPr>
          <w:u w:color="000000" w:themeColor="text1"/>
        </w:rPr>
        <w:tab/>
        <w:t>Neonatal testing conducted pursuant to Section 44</w:t>
      </w:r>
      <w:r w:rsidRPr="0052554E">
        <w:rPr>
          <w:u w:color="000000" w:themeColor="text1"/>
        </w:rPr>
        <w:noBreakHyphen/>
        <w:t>37</w:t>
      </w:r>
      <w:r w:rsidRPr="0052554E">
        <w:rPr>
          <w:u w:color="000000" w:themeColor="text1"/>
        </w:rPr>
        <w:noBreakHyphen/>
        <w:t>30 must include testing for the following:</w:t>
      </w:r>
    </w:p>
    <w:p w:rsidR="00B868B8" w:rsidRPr="0052554E" w:rsidRDefault="00B868B8" w:rsidP="00B86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54E">
        <w:rPr>
          <w:u w:color="000000" w:themeColor="text1"/>
        </w:rPr>
        <w:tab/>
      </w:r>
      <w:r w:rsidRPr="0052554E">
        <w:rPr>
          <w:u w:color="000000" w:themeColor="text1"/>
        </w:rPr>
        <w:tab/>
        <w:t>(1)</w:t>
      </w:r>
      <w:r w:rsidRPr="0052554E">
        <w:rPr>
          <w:u w:color="000000" w:themeColor="text1"/>
        </w:rPr>
        <w:tab/>
        <w:t>Krabbe disease;</w:t>
      </w:r>
    </w:p>
    <w:p w:rsidR="00B868B8" w:rsidRPr="0052554E" w:rsidRDefault="00B868B8" w:rsidP="00B86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54E">
        <w:rPr>
          <w:u w:color="000000" w:themeColor="text1"/>
        </w:rPr>
        <w:tab/>
      </w:r>
      <w:r w:rsidRPr="0052554E">
        <w:rPr>
          <w:u w:color="000000" w:themeColor="text1"/>
        </w:rPr>
        <w:tab/>
        <w:t>(2)</w:t>
      </w:r>
      <w:r w:rsidRPr="0052554E">
        <w:rPr>
          <w:u w:color="000000" w:themeColor="text1"/>
        </w:rPr>
        <w:tab/>
        <w:t>Pompe disease; and</w:t>
      </w:r>
    </w:p>
    <w:p w:rsidR="00B868B8" w:rsidRPr="0052554E" w:rsidRDefault="00B868B8" w:rsidP="00B86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54E">
        <w:rPr>
          <w:u w:color="000000" w:themeColor="text1"/>
        </w:rPr>
        <w:tab/>
      </w:r>
      <w:r w:rsidRPr="0052554E">
        <w:rPr>
          <w:u w:color="000000" w:themeColor="text1"/>
        </w:rPr>
        <w:tab/>
        <w:t>(3)</w:t>
      </w:r>
      <w:r w:rsidRPr="0052554E">
        <w:rPr>
          <w:u w:color="000000" w:themeColor="text1"/>
        </w:rPr>
        <w:tab/>
        <w:t>Hurler syndrome.</w:t>
      </w:r>
    </w:p>
    <w:p w:rsidR="00B868B8" w:rsidRPr="0052554E" w:rsidRDefault="00B868B8" w:rsidP="00B86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54E">
        <w:rPr>
          <w:u w:color="000000" w:themeColor="text1"/>
        </w:rPr>
        <w:tab/>
        <w:t>(B)</w:t>
      </w:r>
      <w:r w:rsidRPr="0052554E">
        <w:rPr>
          <w:u w:color="000000" w:themeColor="text1"/>
        </w:rPr>
        <w:tab/>
        <w:t>The department shall require additional lysosomal storage disorders to be tested upon the recommendations of the Newborn Screening Advisory Committee and in accordance with Section 44</w:t>
      </w:r>
      <w:r w:rsidRPr="0052554E">
        <w:rPr>
          <w:u w:color="000000" w:themeColor="text1"/>
        </w:rPr>
        <w:noBreakHyphen/>
        <w:t>37</w:t>
      </w:r>
      <w:r w:rsidRPr="0052554E">
        <w:rPr>
          <w:u w:color="000000" w:themeColor="text1"/>
        </w:rPr>
        <w:noBreakHyphen/>
        <w:t>30 pursuant to a duly promulgated regulation as testing for such disorders becomes available.”</w:t>
      </w:r>
    </w:p>
    <w:p w:rsidR="00B868B8" w:rsidRDefault="00B868B8" w:rsidP="00B86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68B8" w:rsidRDefault="00204BBB" w:rsidP="00B86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2</w:t>
      </w:r>
      <w:r w:rsidR="00B868B8" w:rsidRPr="0052554E">
        <w:rPr>
          <w:u w:color="000000" w:themeColor="text1"/>
        </w:rPr>
        <w:t>.</w:t>
      </w:r>
      <w:r w:rsidR="00B868B8" w:rsidRPr="0052554E">
        <w:rPr>
          <w:u w:color="000000" w:themeColor="text1"/>
        </w:rPr>
        <w:tab/>
        <w:t>Section 44-37-30 of the 1976 Code is amended by adding an appropriately lettered subsection at the end to read:</w:t>
      </w:r>
    </w:p>
    <w:p w:rsidR="00B868B8" w:rsidRPr="0052554E" w:rsidRDefault="00B868B8" w:rsidP="00B86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68B8" w:rsidRPr="0052554E" w:rsidRDefault="00B868B8" w:rsidP="00B86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54E">
        <w:rPr>
          <w:u w:color="000000" w:themeColor="text1"/>
        </w:rPr>
        <w:tab/>
        <w:t>“(  )</w:t>
      </w:r>
      <w:r w:rsidRPr="0052554E">
        <w:rPr>
          <w:u w:color="000000" w:themeColor="text1"/>
        </w:rPr>
        <w:tab/>
        <w:t xml:space="preserve">The department shall establish the Newborn Screening Advisory Committee to review the feasibility and advisability of including additional metabolic, genetic, and congenital disorders in the neonatal testing conducted pursuant to this section. The </w:t>
      </w:r>
      <w:r w:rsidRPr="0052554E">
        <w:rPr>
          <w:u w:color="000000" w:themeColor="text1"/>
        </w:rPr>
        <w:lastRenderedPageBreak/>
        <w:t>committee must be multidisciplinary and composed of members deemed appropriate by the department.”</w:t>
      </w:r>
    </w:p>
    <w:p w:rsidR="00B868B8" w:rsidRDefault="00B868B8" w:rsidP="00B86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BBB" w:rsidRPr="00D10556" w:rsidRDefault="00204BBB" w:rsidP="00204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10556">
        <w:rPr>
          <w:snapToGrid w:val="0"/>
        </w:rPr>
        <w:t>SECTION</w:t>
      </w:r>
      <w:r w:rsidRPr="00D10556">
        <w:rPr>
          <w:snapToGrid w:val="0"/>
        </w:rPr>
        <w:tab/>
      </w:r>
      <w:r>
        <w:rPr>
          <w:snapToGrid w:val="0"/>
        </w:rPr>
        <w:t>3</w:t>
      </w:r>
      <w:r w:rsidRPr="00D10556">
        <w:rPr>
          <w:snapToGrid w:val="0"/>
        </w:rPr>
        <w:t>.</w:t>
      </w:r>
      <w:r w:rsidRPr="00D10556">
        <w:rPr>
          <w:snapToGrid w:val="0"/>
        </w:rPr>
        <w:tab/>
        <w:t>Section 1-3-210 of the 1976 Code is amended to read:</w:t>
      </w:r>
    </w:p>
    <w:p w:rsidR="00204BBB" w:rsidRPr="00D10556" w:rsidRDefault="00204BBB" w:rsidP="00204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204BBB" w:rsidRPr="00D10556" w:rsidRDefault="00204BBB" w:rsidP="00204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0556">
        <w:tab/>
        <w:t>“Section 1-3-210.</w:t>
      </w:r>
      <w:r w:rsidRPr="00D10556">
        <w:tab/>
      </w:r>
      <w:r w:rsidRPr="00D10556">
        <w:rPr>
          <w:u w:val="single"/>
        </w:rPr>
        <w:t>(A)(1)</w:t>
      </w:r>
      <w:r w:rsidRPr="00D10556">
        <w:tab/>
      </w:r>
      <w:r w:rsidRPr="00D10556">
        <w:rPr>
          <w:strike/>
        </w:rPr>
        <w:t>During the recess of the Senate, vacancy which occurs in an</w:t>
      </w:r>
      <w:r w:rsidRPr="00D10556">
        <w:t xml:space="preserve"> </w:t>
      </w:r>
      <w:r w:rsidRPr="00D10556">
        <w:rPr>
          <w:u w:val="single"/>
        </w:rPr>
        <w:t>If an</w:t>
      </w:r>
      <w:r w:rsidRPr="00D10556">
        <w:t xml:space="preserve"> office filled by an appointment of the Governor with the advice and consent of the Senate </w:t>
      </w:r>
      <w:r w:rsidRPr="00D10556">
        <w:rPr>
          <w:u w:val="single"/>
        </w:rPr>
        <w:t>becomes vacant during the interim period between regular legislative sessions, then the office</w:t>
      </w:r>
      <w:r w:rsidRPr="00D10556">
        <w:t xml:space="preserve"> may be filled by an interim appointment of the Governor </w:t>
      </w:r>
      <w:r w:rsidRPr="00D10556">
        <w:rPr>
          <w:u w:val="single"/>
        </w:rPr>
        <w:t>only if the Governor acts to fill the office during the same interim period during which the office became vacant</w:t>
      </w:r>
      <w:r w:rsidRPr="00D10556">
        <w:t xml:space="preserve">. The Governor must report the interim appointment to the Senate and must forward a formal appointment at its next ensuing regular session. </w:t>
      </w:r>
      <w:r w:rsidRPr="00D10556">
        <w:rPr>
          <w:u w:val="single"/>
        </w:rPr>
        <w:t>If the Senate votes to reject an interim appointee’s formal appointment during the next ensuing regular session then the office is immediately vacant and may not be filled by another interim appointment.</w:t>
      </w:r>
    </w:p>
    <w:p w:rsidR="00204BBB" w:rsidRPr="00D10556" w:rsidRDefault="00204BBB" w:rsidP="00204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0556">
        <w:tab/>
      </w:r>
      <w:r w:rsidRPr="00D10556">
        <w:tab/>
      </w:r>
      <w:r w:rsidRPr="00D10556">
        <w:rPr>
          <w:u w:val="single"/>
        </w:rPr>
        <w:t>(2)</w:t>
      </w:r>
      <w:r w:rsidRPr="00D10556">
        <w:tab/>
        <w:t xml:space="preserve">If the Senate does not advise and consent </w:t>
      </w:r>
      <w:r w:rsidRPr="00D10556">
        <w:rPr>
          <w:strike/>
        </w:rPr>
        <w:t>thereto</w:t>
      </w:r>
      <w:r w:rsidRPr="00D10556">
        <w:t xml:space="preserve"> </w:t>
      </w:r>
      <w:r w:rsidRPr="00D10556">
        <w:rPr>
          <w:u w:val="single"/>
        </w:rPr>
        <w:t>to the formal appointment</w:t>
      </w:r>
      <w:r w:rsidRPr="00D10556">
        <w:t xml:space="preserve"> prior to </w:t>
      </w:r>
      <w:r w:rsidRPr="00D10556">
        <w:rPr>
          <w:strike/>
        </w:rPr>
        <w:t>sine die adjournment</w:t>
      </w:r>
      <w:r w:rsidRPr="00D10556">
        <w:t xml:space="preserve"> </w:t>
      </w:r>
      <w:r w:rsidRPr="00D10556">
        <w:rPr>
          <w:u w:val="single"/>
        </w:rPr>
        <w:t>the second Thursday in May following the interim period during which the interim appointment was made</w:t>
      </w:r>
      <w:r w:rsidRPr="00D10556">
        <w:t xml:space="preserve"> </w:t>
      </w:r>
      <w:r w:rsidRPr="00D10556">
        <w:rPr>
          <w:strike/>
        </w:rPr>
        <w:t>of the next ensuing regular session</w:t>
      </w:r>
      <w:r w:rsidRPr="00D10556">
        <w:t xml:space="preserve">, the office shall be vacant and the interim appointment shall not serve in hold over status notwithstanding any other provision of law to the contrary. </w:t>
      </w:r>
      <w:r w:rsidRPr="00D10556">
        <w:rPr>
          <w:u w:val="single"/>
        </w:rPr>
        <w:t>The Governor may not make a subsequent interim appointment for the same vacancy.</w:t>
      </w:r>
      <w:r w:rsidRPr="00D10556">
        <w:t xml:space="preserve"> </w:t>
      </w:r>
      <w:r w:rsidRPr="00D10556">
        <w:rPr>
          <w:strike/>
        </w:rPr>
        <w:t>A subsequent interim appointment of a different person to a vacancy created by a failure of the Senate to grant confirmation to the original interim appointment shall expire on the second Tuesday in January following the date of such subsequent interim appointment and the office shall be vacant.</w:t>
      </w:r>
    </w:p>
    <w:p w:rsidR="00204BBB" w:rsidRDefault="00204BBB" w:rsidP="00204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D10556">
        <w:tab/>
      </w:r>
      <w:r w:rsidRPr="00D10556">
        <w:rPr>
          <w:u w:val="single"/>
        </w:rPr>
        <w:t>(B)</w:t>
      </w:r>
      <w:r w:rsidRPr="00D10556">
        <w:tab/>
      </w:r>
      <w:r w:rsidRPr="00D10556">
        <w:rPr>
          <w:u w:val="single"/>
        </w:rPr>
        <w:t>The Governor’s authority to make an interim appointment pursuant to subsection (A) terminates when the General Assembly convenes the regular legislative session following the interim period between regular legislative sessions during which the office became vacant.</w:t>
      </w:r>
      <w:r w:rsidRPr="00D10556">
        <w:t>”</w:t>
      </w:r>
    </w:p>
    <w:p w:rsidR="00204BBB" w:rsidRPr="00D10556" w:rsidRDefault="00204BBB" w:rsidP="00204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BBB" w:rsidRDefault="00204BBB" w:rsidP="00204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4.</w:t>
      </w:r>
      <w:r>
        <w:rPr>
          <w:snapToGrid w:val="0"/>
        </w:rPr>
        <w:tab/>
        <w:t>Article 5, Chapter 3 of Title 1 of the 1976 Code is amended by adding:</w:t>
      </w:r>
    </w:p>
    <w:p w:rsidR="00204BBB" w:rsidRDefault="00204BBB" w:rsidP="00204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204BBB" w:rsidRPr="00676E9A" w:rsidRDefault="00204BBB" w:rsidP="00204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“Section 1-3-211.</w:t>
      </w:r>
      <w:r>
        <w:rPr>
          <w:snapToGrid w:val="0"/>
        </w:rPr>
        <w:tab/>
      </w:r>
      <w:r w:rsidRPr="00676E9A">
        <w:rPr>
          <w:color w:val="000000" w:themeColor="text1"/>
          <w:u w:color="000000" w:themeColor="text1"/>
        </w:rPr>
        <w:t>(A)</w:t>
      </w:r>
      <w:r w:rsidRPr="00676E9A">
        <w:rPr>
          <w:color w:val="000000" w:themeColor="text1"/>
          <w:u w:color="000000" w:themeColor="text1"/>
        </w:rPr>
        <w:tab/>
        <w:t xml:space="preserve">If a vacancy exists in the head of an agency that requires appointment by the Governor with the advice and consent of the Senate, the Governor may designate an employee </w:t>
      </w:r>
      <w:r w:rsidRPr="00676E9A">
        <w:rPr>
          <w:color w:val="000000" w:themeColor="text1"/>
          <w:u w:color="000000" w:themeColor="text1"/>
        </w:rPr>
        <w:lastRenderedPageBreak/>
        <w:t>of the agency as the acting head of the agency if the person designated was employed by the agency for at least twelve consecutive months prior to the date upon which the vacancy occurred. A person designated as an acting agency head pursuant to this subsection may serve as the acting agency head no longer than the second Thursday in May following date upon which the vacancy occurred.</w:t>
      </w:r>
    </w:p>
    <w:p w:rsidR="00204BBB" w:rsidRPr="00676E9A" w:rsidRDefault="00204BBB" w:rsidP="00204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E9A">
        <w:rPr>
          <w:color w:val="000000" w:themeColor="text1"/>
          <w:u w:color="000000" w:themeColor="text1"/>
        </w:rPr>
        <w:tab/>
        <w:t>(B)(1)</w:t>
      </w:r>
      <w:r w:rsidRPr="00676E9A">
        <w:rPr>
          <w:color w:val="000000" w:themeColor="text1"/>
          <w:u w:color="000000" w:themeColor="text1"/>
        </w:rPr>
        <w:tab/>
        <w:t>A person nominated by the Governor to head an agency that requires the advice and consent of the Senate who did not receive the advice and consent of the Senate, or whose nomination was withdrawn, may not be designated by the Governor as the acting head of the agency to which the person was nominated.</w:t>
      </w:r>
    </w:p>
    <w:p w:rsidR="00204BBB" w:rsidRPr="00676E9A" w:rsidRDefault="00204BBB" w:rsidP="00204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E9A">
        <w:rPr>
          <w:color w:val="000000" w:themeColor="text1"/>
          <w:u w:color="000000" w:themeColor="text1"/>
        </w:rPr>
        <w:tab/>
      </w:r>
      <w:r w:rsidRPr="00676E9A">
        <w:rPr>
          <w:color w:val="000000" w:themeColor="text1"/>
          <w:u w:color="000000" w:themeColor="text1"/>
        </w:rPr>
        <w:tab/>
        <w:t>(2)</w:t>
      </w:r>
      <w:r w:rsidRPr="00676E9A">
        <w:rPr>
          <w:color w:val="000000" w:themeColor="text1"/>
          <w:u w:color="000000" w:themeColor="text1"/>
        </w:rPr>
        <w:tab/>
        <w:t xml:space="preserve">A person nominated by the Governor to head an agency that requires the advice and consent of the Senate who also had been previously designated as the acting head of the agency who did not receive the advice and consent of the Senate, or whose nomination was withdrawn, may no longer exercise </w:t>
      </w:r>
      <w:r w:rsidRPr="00676E9A">
        <w:t>any authority or duties of that agency</w:t>
      </w:r>
      <w:r w:rsidRPr="00676E9A">
        <w:rPr>
          <w:color w:val="000000" w:themeColor="text1"/>
          <w:u w:color="000000" w:themeColor="text1"/>
        </w:rPr>
        <w:t>.</w:t>
      </w:r>
      <w:r>
        <w:rPr>
          <w:color w:val="000000" w:themeColor="text1"/>
          <w:u w:color="000000" w:themeColor="text1"/>
        </w:rPr>
        <w:t>”</w:t>
      </w:r>
    </w:p>
    <w:p w:rsidR="00204BBB" w:rsidRDefault="00204BBB" w:rsidP="00B86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6B0AD8" w:rsidRDefault="00204BBB" w:rsidP="00B86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5.</w:t>
      </w:r>
      <w:r>
        <w:rPr>
          <w:snapToGrid w:val="0"/>
        </w:rPr>
        <w:tab/>
        <w:t xml:space="preserve">This </w:t>
      </w:r>
      <w:r w:rsidRPr="0052554E">
        <w:t>act takes effect upon approval by the Governor.</w:t>
      </w:r>
      <w:r>
        <w:t xml:space="preserve"> Implementation of the act is contingent upon available funding from public sources.</w:t>
      </w:r>
    </w:p>
    <w:p w:rsidR="00CD71D0" w:rsidRDefault="00973E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4958" w:rsidRDefault="001B4958" w:rsidP="001B4958">
      <w:pPr>
        <w:suppressAutoHyphens/>
      </w:pPr>
    </w:p>
    <w:sectPr w:rsidR="001B4958" w:rsidSect="001660F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0AD8" w:rsidRDefault="006B0AD8" w:rsidP="009F0C77">
      <w:r>
        <w:separator/>
      </w:r>
    </w:p>
  </w:endnote>
  <w:endnote w:type="continuationSeparator" w:id="0">
    <w:p w:rsidR="006B0AD8" w:rsidRDefault="006B0A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9B71C9C2-5B97-4994-BC75-1EA1F6905D70}"/>
  </w:font>
  <w:font w:name="Times New Roman">
    <w:panose1 w:val="02020603050405020304"/>
    <w:charset w:val="00"/>
    <w:family w:val="roman"/>
    <w:pitch w:val="variable"/>
    <w:sig w:usb0="E0002EFF" w:usb1="C000785B" w:usb2="00000009" w:usb3="00000000" w:csb0="000001FF" w:csb1="00000000"/>
    <w:embedRegular r:id="rId2" w:fontKey="{F40542B4-A87F-43FE-BE3B-520A6694D8FB}"/>
    <w:embedBold r:id="rId3" w:fontKey="{442207EE-AF54-434D-9371-DB751D4D1648}"/>
  </w:font>
  <w:font w:name="Courier New">
    <w:panose1 w:val="02070309020205020404"/>
    <w:charset w:val="00"/>
    <w:family w:val="modern"/>
    <w:pitch w:val="fixed"/>
    <w:sig w:usb0="E0002EFF" w:usb1="C0007843" w:usb2="00000009" w:usb3="00000000" w:csb0="000001FF" w:csb1="00000000"/>
    <w:embedRegular r:id="rId4" w:fontKey="{8A7955B2-4197-486C-8B22-FBBEA6A3D67F}"/>
  </w:font>
  <w:font w:name="Wingdings">
    <w:panose1 w:val="05000000000000000000"/>
    <w:charset w:val="02"/>
    <w:family w:val="auto"/>
    <w:pitch w:val="variable"/>
    <w:sig w:usb0="00000000" w:usb1="10000000" w:usb2="00000000" w:usb3="00000000" w:csb0="80000000" w:csb1="00000000"/>
    <w:embedRegular r:id="rId5" w:fontKey="{DBB5A806-8B01-47C9-9BD9-FB3C2BF17830}"/>
  </w:font>
  <w:font w:name="Calibri">
    <w:panose1 w:val="020F0502020204030204"/>
    <w:charset w:val="00"/>
    <w:family w:val="swiss"/>
    <w:pitch w:val="variable"/>
    <w:sig w:usb0="E0002AFF" w:usb1="C000247B" w:usb2="00000009" w:usb3="00000000" w:csb0="000001FF" w:csb1="00000000"/>
    <w:embedRegular r:id="rId6" w:fontKey="{ECF0426D-1C96-4CB7-8DAD-E1A67DBC7C77}"/>
  </w:font>
  <w:font w:name="Cambria">
    <w:panose1 w:val="02040503050406030204"/>
    <w:charset w:val="00"/>
    <w:family w:val="roman"/>
    <w:pitch w:val="variable"/>
    <w:sig w:usb0="E00006FF" w:usb1="420024FF" w:usb2="02000000" w:usb3="00000000" w:csb0="0000019F" w:csb1="00000000"/>
    <w:embedRegular r:id="rId7" w:fontKey="{80558017-AB2D-4911-852A-EF2C42B1089C}"/>
  </w:font>
  <w:font w:name="Segoe UI">
    <w:panose1 w:val="020B0502040204020203"/>
    <w:charset w:val="00"/>
    <w:family w:val="swiss"/>
    <w:pitch w:val="variable"/>
    <w:sig w:usb0="E4002EFF" w:usb1="C000E47F" w:usb2="00000009" w:usb3="00000000" w:csb0="000001FF" w:csb1="00000000"/>
    <w:embedRegular r:id="rId8" w:fontKey="{39CC0D50-DA66-469F-829A-4E144EE989C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71D0" w:rsidRPr="000268AE" w:rsidRDefault="000268AE" w:rsidP="000268AE">
    <w:pPr>
      <w:pStyle w:val="Footer"/>
      <w:tabs>
        <w:tab w:val="clear" w:pos="4680"/>
        <w:tab w:val="clear" w:pos="9360"/>
        <w:tab w:val="center" w:pos="2995"/>
      </w:tabs>
      <w:spacing w:before="120"/>
    </w:pPr>
    <w:r>
      <w:t>[3036</w:t>
    </w:r>
    <w:r w:rsidR="001660FB">
      <w:t>-</w:t>
    </w:r>
    <w:r w:rsidR="001660FB">
      <w:fldChar w:fldCharType="begin"/>
    </w:r>
    <w:r w:rsidR="001660FB">
      <w:instrText xml:space="preserve"> PAGE  \* MERGEFORMAT </w:instrText>
    </w:r>
    <w:r w:rsidR="001660FB">
      <w:fldChar w:fldCharType="separate"/>
    </w:r>
    <w:r w:rsidR="001B4958">
      <w:rPr>
        <w:noProof/>
      </w:rPr>
      <w:t>1</w:t>
    </w:r>
    <w:r w:rsidR="001660FB">
      <w:fldChar w:fldCharType="end"/>
    </w:r>
    <w:r w:rsidR="001660FB">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0FB" w:rsidRPr="000268AE" w:rsidRDefault="001660FB" w:rsidP="000268AE">
    <w:pPr>
      <w:pStyle w:val="Footer"/>
      <w:tabs>
        <w:tab w:val="clear" w:pos="4680"/>
        <w:tab w:val="clear" w:pos="9360"/>
        <w:tab w:val="center" w:pos="2995"/>
      </w:tabs>
      <w:spacing w:before="120"/>
    </w:pPr>
    <w:r>
      <w:t>[3036]</w:t>
    </w:r>
    <w:r>
      <w:tab/>
    </w:r>
    <w:r>
      <w:fldChar w:fldCharType="begin"/>
    </w:r>
    <w:r>
      <w:instrText xml:space="preserve"> PAGE  \* MERGEFORMAT </w:instrText>
    </w:r>
    <w:r>
      <w:fldChar w:fldCharType="separate"/>
    </w:r>
    <w:r w:rsidR="001B4958">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0AD8" w:rsidRDefault="006B0AD8" w:rsidP="009F0C77">
      <w:r>
        <w:separator/>
      </w:r>
    </w:p>
  </w:footnote>
  <w:footnote w:type="continuationSeparator" w:id="0">
    <w:p w:rsidR="006B0AD8" w:rsidRDefault="006B0AD8" w:rsidP="009F0C7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75C3B"/>
    <w:multiLevelType w:val="hybridMultilevel"/>
    <w:tmpl w:val="FB9060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8A5033A"/>
    <w:multiLevelType w:val="hybridMultilevel"/>
    <w:tmpl w:val="D4426B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37VR19"/>
    <w:docVar w:name="CoverBillType" w:val="b"/>
    <w:docVar w:name="DocPath" w:val="L:\Council\bills\CC\15237VR19.DOCX"/>
    <w:docVar w:name="dvBillNumber" w:val="3036"/>
    <w:docVar w:name="dvBillNumberPrefix" w:val="H. "/>
    <w:docVar w:name="dvOriginalBody" w:val="House"/>
    <w:docVar w:name="dvSteno" w:val="CC"/>
    <w:docVar w:name="NameofBody" w:val="h"/>
    <w:docVar w:name="vGroup2" w:val="Council"/>
  </w:docVars>
  <w:rsids>
    <w:rsidRoot w:val="006B0AD8"/>
    <w:rsid w:val="00011869"/>
    <w:rsid w:val="00015CD6"/>
    <w:rsid w:val="000268AE"/>
    <w:rsid w:val="000E0100"/>
    <w:rsid w:val="000E1785"/>
    <w:rsid w:val="000F40FA"/>
    <w:rsid w:val="001035F1"/>
    <w:rsid w:val="0010776B"/>
    <w:rsid w:val="00133E66"/>
    <w:rsid w:val="001435A3"/>
    <w:rsid w:val="00146ED3"/>
    <w:rsid w:val="00151044"/>
    <w:rsid w:val="001660FB"/>
    <w:rsid w:val="00167786"/>
    <w:rsid w:val="001B4958"/>
    <w:rsid w:val="001D08F2"/>
    <w:rsid w:val="001D3A58"/>
    <w:rsid w:val="001D525B"/>
    <w:rsid w:val="001D7F4F"/>
    <w:rsid w:val="00204BBB"/>
    <w:rsid w:val="00205238"/>
    <w:rsid w:val="00210C14"/>
    <w:rsid w:val="002321B6"/>
    <w:rsid w:val="00250967"/>
    <w:rsid w:val="002543C8"/>
    <w:rsid w:val="0025541D"/>
    <w:rsid w:val="00284AAE"/>
    <w:rsid w:val="002E5912"/>
    <w:rsid w:val="00301B21"/>
    <w:rsid w:val="00313C06"/>
    <w:rsid w:val="00325348"/>
    <w:rsid w:val="0032732C"/>
    <w:rsid w:val="00336AD0"/>
    <w:rsid w:val="0037079A"/>
    <w:rsid w:val="003845F0"/>
    <w:rsid w:val="003B3555"/>
    <w:rsid w:val="003C4DAB"/>
    <w:rsid w:val="003D01E8"/>
    <w:rsid w:val="003E5288"/>
    <w:rsid w:val="003F6D79"/>
    <w:rsid w:val="0041760A"/>
    <w:rsid w:val="00417C01"/>
    <w:rsid w:val="004403BD"/>
    <w:rsid w:val="004540B8"/>
    <w:rsid w:val="00461441"/>
    <w:rsid w:val="004809EE"/>
    <w:rsid w:val="004C517A"/>
    <w:rsid w:val="004E7D54"/>
    <w:rsid w:val="005273C6"/>
    <w:rsid w:val="00530A69"/>
    <w:rsid w:val="00545593"/>
    <w:rsid w:val="00556EBF"/>
    <w:rsid w:val="00577C6C"/>
    <w:rsid w:val="00595DDB"/>
    <w:rsid w:val="005A62FE"/>
    <w:rsid w:val="005C2FE2"/>
    <w:rsid w:val="005E2BC9"/>
    <w:rsid w:val="00605102"/>
    <w:rsid w:val="006215AA"/>
    <w:rsid w:val="006913C9"/>
    <w:rsid w:val="0069470D"/>
    <w:rsid w:val="006B0AD8"/>
    <w:rsid w:val="006D58AA"/>
    <w:rsid w:val="00734F00"/>
    <w:rsid w:val="007A70AE"/>
    <w:rsid w:val="007C48A1"/>
    <w:rsid w:val="007D602C"/>
    <w:rsid w:val="008362E8"/>
    <w:rsid w:val="0085786E"/>
    <w:rsid w:val="008A1768"/>
    <w:rsid w:val="008A489F"/>
    <w:rsid w:val="008B3D59"/>
    <w:rsid w:val="008F0F33"/>
    <w:rsid w:val="008F4429"/>
    <w:rsid w:val="0094021A"/>
    <w:rsid w:val="00955636"/>
    <w:rsid w:val="00973EC8"/>
    <w:rsid w:val="009B44AF"/>
    <w:rsid w:val="009C6A0B"/>
    <w:rsid w:val="009E728E"/>
    <w:rsid w:val="009F0C77"/>
    <w:rsid w:val="009F4DD1"/>
    <w:rsid w:val="00A02543"/>
    <w:rsid w:val="00A41684"/>
    <w:rsid w:val="00A64E80"/>
    <w:rsid w:val="00A72BCD"/>
    <w:rsid w:val="00A741D9"/>
    <w:rsid w:val="00A833AB"/>
    <w:rsid w:val="00A9741D"/>
    <w:rsid w:val="00AC34A2"/>
    <w:rsid w:val="00AD1C9A"/>
    <w:rsid w:val="00AD4B17"/>
    <w:rsid w:val="00AE2799"/>
    <w:rsid w:val="00B40E84"/>
    <w:rsid w:val="00B412D4"/>
    <w:rsid w:val="00B868B8"/>
    <w:rsid w:val="00BA38BC"/>
    <w:rsid w:val="00BE3C22"/>
    <w:rsid w:val="00C0345E"/>
    <w:rsid w:val="00C061DD"/>
    <w:rsid w:val="00C22372"/>
    <w:rsid w:val="00C31C95"/>
    <w:rsid w:val="00C3483A"/>
    <w:rsid w:val="00C74E9D"/>
    <w:rsid w:val="00C826DD"/>
    <w:rsid w:val="00C82FD3"/>
    <w:rsid w:val="00C92819"/>
    <w:rsid w:val="00CC6B7B"/>
    <w:rsid w:val="00CD2089"/>
    <w:rsid w:val="00CD71D0"/>
    <w:rsid w:val="00CF4CDB"/>
    <w:rsid w:val="00CF578F"/>
    <w:rsid w:val="00D06E13"/>
    <w:rsid w:val="00D3649E"/>
    <w:rsid w:val="00D528A5"/>
    <w:rsid w:val="00D73A67"/>
    <w:rsid w:val="00D970A9"/>
    <w:rsid w:val="00DF3845"/>
    <w:rsid w:val="00E41911"/>
    <w:rsid w:val="00E44B57"/>
    <w:rsid w:val="00E92EEF"/>
    <w:rsid w:val="00EF2368"/>
    <w:rsid w:val="00F24442"/>
    <w:rsid w:val="00F50AE3"/>
    <w:rsid w:val="00F655B7"/>
    <w:rsid w:val="00F656BA"/>
    <w:rsid w:val="00F67CF1"/>
    <w:rsid w:val="00F728AA"/>
    <w:rsid w:val="00F83C17"/>
    <w:rsid w:val="00F840F0"/>
    <w:rsid w:val="00FB0D0D"/>
    <w:rsid w:val="00FB43B4"/>
    <w:rsid w:val="00FB6B0B"/>
    <w:rsid w:val="00FF2AE4"/>
    <w:rsid w:val="00FF6450"/>
    <w:rsid w:val="00FF7A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20C56B-FBF9-4192-B564-7039FC8E6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1660F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28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28A5"/>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1660FB"/>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1660FB"/>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520759-F1B0-4270-8F5A-77713DF1B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9860C8B</Template>
  <TotalTime>0</TotalTime>
  <Pages>4</Pages>
  <Words>811</Words>
  <Characters>4159</Characters>
  <Application>Microsoft Office Word</Application>
  <DocSecurity>0</DocSecurity>
  <Lines>121</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3036 Text of Previous Version (May 8, 2019) - South Carolina Legislature Online</dc:title>
  <dc:creator>%USERNAME%</dc:creator>
  <cp:lastModifiedBy>David Brunson</cp:lastModifiedBy>
  <cp:revision>2</cp:revision>
  <cp:lastPrinted>2018-12-13T23:05:00Z</cp:lastPrinted>
  <dcterms:created xsi:type="dcterms:W3CDTF">2019-05-08T22:19:00Z</dcterms:created>
  <dcterms:modified xsi:type="dcterms:W3CDTF">2019-05-08T22:19:00Z</dcterms:modified>
</cp:coreProperties>
</file>