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0CA" w:rsidRPr="00522CE0" w:rsidRDefault="000970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37B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EC7FFD">
        <w:rPr>
          <w:rFonts w:eastAsia="Times New Roman"/>
          <w:color w:val="000000" w:themeColor="text1"/>
          <w:szCs w:val="20"/>
          <w:u w:color="000000" w:themeColor="text1"/>
        </w:rPr>
        <w:t xml:space="preserve">TO AMEND </w:t>
      </w:r>
      <w:r w:rsidR="009D7445">
        <w:rPr>
          <w:rFonts w:eastAsia="Times New Roman"/>
          <w:color w:val="000000" w:themeColor="text1"/>
          <w:szCs w:val="20"/>
          <w:u w:color="000000" w:themeColor="text1"/>
        </w:rPr>
        <w:t>ARTICLE 25, CHAPTER 6, TITLE 12 OF THE 1976</w:t>
      </w:r>
      <w:r w:rsidRPr="00EC7FFD">
        <w:rPr>
          <w:rFonts w:eastAsia="Times New Roman"/>
          <w:color w:val="000000" w:themeColor="text1"/>
          <w:szCs w:val="20"/>
          <w:u w:color="000000" w:themeColor="text1"/>
        </w:rPr>
        <w:t xml:space="preserve"> CODE</w:t>
      </w:r>
      <w:r w:rsidR="009D7445">
        <w:rPr>
          <w:rFonts w:eastAsia="Times New Roman"/>
          <w:color w:val="000000" w:themeColor="text1"/>
          <w:szCs w:val="20"/>
          <w:u w:color="000000" w:themeColor="text1"/>
        </w:rPr>
        <w:t>, RELATING TO SOUTH CAROLINA INCOME TAX CREDITS</w:t>
      </w:r>
      <w:r w:rsidRPr="00EC7FFD">
        <w:rPr>
          <w:rFonts w:eastAsia="Times New Roman"/>
          <w:color w:val="000000" w:themeColor="text1"/>
          <w:szCs w:val="20"/>
          <w:u w:color="000000" w:themeColor="text1"/>
        </w:rPr>
        <w:t>, BY ADDING 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O ALLOW AN INCOME TAX CREDIT FOR EACH CLINICAL ROTATION SERVED BY A PHYSICIAN, ADVANCED PRACTICE NURSE, OR PHYSICIAN ASSISTANT AS A PRECEPTOR FOR CERTAIN PROGRAMS.</w:t>
      </w:r>
    </w:p>
    <w:p w:rsid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4" w:name="titleend"/>
      <w:bookmarkEnd w:id="4"/>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the pipeline </w:t>
      </w:r>
      <w:r w:rsidR="009D7445">
        <w:rPr>
          <w:rFonts w:eastAsia="Times New Roman"/>
          <w:color w:val="000000" w:themeColor="text1"/>
          <w:szCs w:val="20"/>
          <w:u w:color="000000" w:themeColor="text1"/>
        </w:rPr>
        <w:t>for</w:t>
      </w:r>
      <w:r w:rsidRPr="00EC7FFD">
        <w:rPr>
          <w:rFonts w:eastAsia="Times New Roman"/>
          <w:color w:val="000000" w:themeColor="text1"/>
          <w:szCs w:val="20"/>
          <w:u w:color="000000" w:themeColor="text1"/>
        </w:rPr>
        <w:t xml:space="preserve"> primary care medical, advanced practice nursing, and physician assistant providers in South Carolina is vital</w:t>
      </w:r>
      <w:r w:rsidR="009D7445">
        <w:rPr>
          <w:rFonts w:eastAsia="Times New Roman"/>
          <w:color w:val="000000" w:themeColor="text1"/>
          <w:szCs w:val="20"/>
          <w:u w:color="000000" w:themeColor="text1"/>
        </w:rPr>
        <w:t xml:space="preserve"> to the State</w:t>
      </w:r>
      <w:r w:rsidRPr="00EC7FFD">
        <w:rPr>
          <w:rFonts w:eastAsia="Times New Roman"/>
          <w:color w:val="000000" w:themeColor="text1"/>
          <w:szCs w:val="20"/>
          <w:u w:color="000000" w:themeColor="text1"/>
        </w:rPr>
        <w:t>;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a largely rural state with a population of 4.8 million and is ranked </w:t>
      </w:r>
      <w:r w:rsidR="009D7445">
        <w:rPr>
          <w:rFonts w:eastAsia="Times New Roman"/>
          <w:color w:val="000000" w:themeColor="text1"/>
          <w:szCs w:val="20"/>
          <w:u w:color="000000" w:themeColor="text1"/>
        </w:rPr>
        <w:t>forty-seco</w:t>
      </w:r>
      <w:r w:rsidRPr="00EC7FFD">
        <w:rPr>
          <w:rFonts w:eastAsia="Times New Roman"/>
          <w:color w:val="000000" w:themeColor="text1"/>
          <w:szCs w:val="20"/>
          <w:u w:color="000000" w:themeColor="text1"/>
        </w:rPr>
        <w:t>nd nationally in overall health rankings;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ranked </w:t>
      </w:r>
      <w:r w:rsidR="009D7445">
        <w:rPr>
          <w:rFonts w:eastAsia="Times New Roman"/>
          <w:color w:val="000000" w:themeColor="text1"/>
          <w:szCs w:val="20"/>
          <w:u w:color="000000" w:themeColor="text1"/>
        </w:rPr>
        <w:t>thirty-nin</w:t>
      </w:r>
      <w:r w:rsidRPr="00EC7FFD">
        <w:rPr>
          <w:rFonts w:eastAsia="Times New Roman"/>
          <w:color w:val="000000" w:themeColor="text1"/>
          <w:szCs w:val="20"/>
          <w:u w:color="000000" w:themeColor="text1"/>
        </w:rPr>
        <w:t xml:space="preserve">th nationally regarding patient access to health care services and </w:t>
      </w:r>
      <w:r w:rsidR="009D7445">
        <w:rPr>
          <w:rFonts w:eastAsia="Times New Roman"/>
          <w:color w:val="000000" w:themeColor="text1"/>
          <w:szCs w:val="20"/>
          <w:u w:color="000000" w:themeColor="text1"/>
        </w:rPr>
        <w:t>forty-thir</w:t>
      </w:r>
      <w:r w:rsidRPr="00EC7FFD">
        <w:rPr>
          <w:rFonts w:eastAsia="Times New Roman"/>
          <w:color w:val="000000" w:themeColor="text1"/>
          <w:szCs w:val="20"/>
          <w:u w:color="000000" w:themeColor="text1"/>
        </w:rPr>
        <w:t>d for</w:t>
      </w:r>
      <w:r w:rsidR="009D7445">
        <w:rPr>
          <w:rFonts w:eastAsia="Times New Roman"/>
          <w:color w:val="000000" w:themeColor="text1"/>
          <w:szCs w:val="20"/>
          <w:u w:color="000000" w:themeColor="text1"/>
        </w:rPr>
        <w:t xml:space="preserve"> its</w:t>
      </w:r>
      <w:r w:rsidRPr="00EC7FFD">
        <w:rPr>
          <w:rFonts w:eastAsia="Times New Roman"/>
          <w:color w:val="000000" w:themeColor="text1"/>
          <w:szCs w:val="20"/>
          <w:u w:color="000000" w:themeColor="text1"/>
        </w:rPr>
        <w:t xml:space="preserve"> total supply of primary care practicing physicians;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Whereas, such health statistics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along with the shortage and maldistribution of health care professionals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are alarming, resulting in a grade of “F” in health care according to the South Carolina Department of Health and Environmental Control;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according to </w:t>
      </w:r>
      <w:r w:rsidR="009D7445" w:rsidRPr="00EC7FFD">
        <w:rPr>
          <w:rFonts w:eastAsia="Times New Roman"/>
          <w:color w:val="000000" w:themeColor="text1"/>
          <w:szCs w:val="20"/>
          <w:u w:color="000000" w:themeColor="text1"/>
        </w:rPr>
        <w:t>the South Carolina Department of Health and Environmental Control</w:t>
      </w:r>
      <w:r w:rsidRPr="00EC7FFD">
        <w:rPr>
          <w:rFonts w:eastAsia="Times New Roman"/>
          <w:color w:val="000000" w:themeColor="text1"/>
          <w:szCs w:val="20"/>
          <w:u w:color="000000" w:themeColor="text1"/>
        </w:rPr>
        <w:t>, all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six South Carolina counties are federally designated as being total or partial Medically Underserved Areas/Populations,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three counties as Health Professional Shortage Areas (HPSA), with twenty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 xml:space="preserve">nine categorized as low income HPSAs and fifteen fulfilling the criteria as geographic </w:t>
      </w:r>
      <w:r w:rsidRPr="00EC7FFD">
        <w:rPr>
          <w:rFonts w:eastAsia="Times New Roman"/>
          <w:color w:val="000000" w:themeColor="text1"/>
          <w:szCs w:val="20"/>
          <w:u w:color="000000" w:themeColor="text1"/>
        </w:rPr>
        <w:lastRenderedPageBreak/>
        <w:t>HPSAs, the designation used for the most underserved counties.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537BA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EC7FFD" w:rsidRPr="00EC7FFD">
        <w:rPr>
          <w:rFonts w:eastAsia="Times New Roman"/>
          <w:color w:val="000000" w:themeColor="text1"/>
          <w:szCs w:val="20"/>
          <w:u w:color="000000" w:themeColor="text1"/>
        </w:rPr>
        <w:t>Article 25, Chapter 6, Title 12 of the 1976 Code is amended by adding:</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C618F" w:rsidRPr="00EC7FFD"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Pr="00EC7FFD">
        <w:rPr>
          <w:rFonts w:eastAsia="Times New Roman"/>
          <w:color w:val="000000" w:themeColor="text1"/>
          <w:szCs w:val="20"/>
          <w:u w:color="000000" w:themeColor="text1"/>
        </w:rPr>
        <w:tab/>
      </w:r>
      <w:r w:rsidR="005C618F" w:rsidRPr="00EC7FFD">
        <w:rPr>
          <w:rFonts w:eastAsia="Times New Roman"/>
          <w:color w:val="000000" w:themeColor="text1"/>
          <w:szCs w:val="20"/>
          <w:u w:color="000000" w:themeColor="text1"/>
        </w:rPr>
        <w:t>(</w:t>
      </w:r>
      <w:r w:rsidR="005C618F">
        <w:rPr>
          <w:rFonts w:eastAsia="Times New Roman"/>
          <w:color w:val="000000" w:themeColor="text1"/>
          <w:szCs w:val="20"/>
          <w:u w:color="000000" w:themeColor="text1"/>
        </w:rPr>
        <w:t>A</w:t>
      </w:r>
      <w:r w:rsidR="005C618F" w:rsidRPr="00EC7FFD">
        <w:rPr>
          <w:rFonts w:eastAsia="Times New Roman"/>
          <w:color w:val="000000" w:themeColor="text1"/>
          <w:szCs w:val="20"/>
          <w:u w:color="000000" w:themeColor="text1"/>
        </w:rPr>
        <w:t>)</w:t>
      </w:r>
      <w:r w:rsidR="005C618F" w:rsidRPr="00EC7FFD">
        <w:rPr>
          <w:rFonts w:eastAsia="Times New Roman"/>
          <w:color w:val="000000" w:themeColor="text1"/>
          <w:szCs w:val="20"/>
          <w:u w:color="000000" w:themeColor="text1"/>
        </w:rPr>
        <w:tab/>
        <w:t xml:space="preserve">For </w:t>
      </w:r>
      <w:r w:rsidR="005C618F">
        <w:rPr>
          <w:rFonts w:eastAsia="Times New Roman"/>
          <w:color w:val="000000" w:themeColor="text1"/>
          <w:szCs w:val="20"/>
          <w:u w:color="000000" w:themeColor="text1"/>
        </w:rPr>
        <w:t xml:space="preserve">the </w:t>
      </w:r>
      <w:r w:rsidR="005C618F" w:rsidRPr="00EC7FFD">
        <w:rPr>
          <w:rFonts w:eastAsia="Times New Roman"/>
          <w:color w:val="000000" w:themeColor="text1"/>
          <w:szCs w:val="20"/>
          <w:u w:color="000000" w:themeColor="text1"/>
        </w:rPr>
        <w:t>purposes of this section:</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(1)</w:t>
      </w:r>
      <w:r w:rsidRPr="00EC7FFD">
        <w:rPr>
          <w:rFonts w:eastAsia="Times New Roman"/>
          <w:color w:val="000000" w:themeColor="text1"/>
          <w:szCs w:val="20"/>
          <w:u w:color="000000" w:themeColor="text1"/>
        </w:rPr>
        <w:tab/>
        <w:t>‘Independent institution of higher learning’ has the same meaning as provided in Section 59-113-50.</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2)</w:t>
      </w:r>
      <w:r>
        <w:rPr>
          <w:rFonts w:eastAsia="Times New Roman"/>
          <w:color w:val="000000" w:themeColor="text1"/>
          <w:szCs w:val="20"/>
          <w:u w:color="000000" w:themeColor="text1"/>
        </w:rPr>
        <w:tab/>
        <w:t>‘Medical school-</w:t>
      </w:r>
      <w:r w:rsidRPr="00EC7FFD">
        <w:rPr>
          <w:rFonts w:eastAsia="Times New Roman"/>
          <w:color w:val="000000" w:themeColor="text1"/>
          <w:szCs w:val="20"/>
          <w:u w:color="000000" w:themeColor="text1"/>
        </w:rPr>
        <w:t>required clinical rotation’, ‘physician assistant program</w:t>
      </w:r>
      <w:r>
        <w:rPr>
          <w:rFonts w:eastAsia="Times New Roman"/>
          <w:color w:val="000000" w:themeColor="text1"/>
          <w:szCs w:val="20"/>
          <w:u w:color="000000" w:themeColor="text1"/>
        </w:rPr>
        <w:t>-</w:t>
      </w:r>
      <w:r w:rsidRPr="00EC7FFD">
        <w:rPr>
          <w:rFonts w:eastAsia="Times New Roman"/>
          <w:color w:val="000000" w:themeColor="text1"/>
          <w:szCs w:val="20"/>
          <w:u w:color="000000" w:themeColor="text1"/>
        </w:rPr>
        <w:t>required clinical rotation’, or ‘ad</w:t>
      </w:r>
      <w:r>
        <w:rPr>
          <w:rFonts w:eastAsia="Times New Roman"/>
          <w:color w:val="000000" w:themeColor="text1"/>
          <w:szCs w:val="20"/>
          <w:u w:color="000000" w:themeColor="text1"/>
        </w:rPr>
        <w:t>vanced practice nursing program-</w:t>
      </w:r>
      <w:r w:rsidRPr="00EC7FFD">
        <w:rPr>
          <w:rFonts w:eastAsia="Times New Roman"/>
          <w:color w:val="000000" w:themeColor="text1"/>
          <w:szCs w:val="20"/>
          <w:u w:color="000000" w:themeColor="text1"/>
        </w:rPr>
        <w:t xml:space="preserve">required clinical rotation’ means a clinical rotation for a public teaching institution or independent institution of higher learning </w:t>
      </w:r>
      <w:r>
        <w:rPr>
          <w:rFonts w:eastAsia="Times New Roman"/>
          <w:color w:val="000000" w:themeColor="text1"/>
          <w:szCs w:val="20"/>
          <w:u w:color="000000" w:themeColor="text1"/>
        </w:rPr>
        <w:t>that</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(a)</w:t>
      </w:r>
      <w:r w:rsidRPr="00EC7FFD">
        <w:rPr>
          <w:rFonts w:eastAsia="Times New Roman"/>
          <w:color w:val="000000" w:themeColor="text1"/>
          <w:szCs w:val="20"/>
          <w:u w:color="000000" w:themeColor="text1"/>
        </w:rPr>
        <w:tab/>
        <w:t>is established for a student who is enrolled in a South Carolina public teaching institution or an independent institution of higher learning</w:t>
      </w:r>
      <w:r>
        <w:rPr>
          <w:rFonts w:eastAsia="Times New Roman"/>
          <w:color w:val="000000" w:themeColor="text1"/>
          <w:szCs w:val="20"/>
          <w:u w:color="000000" w:themeColor="text1"/>
        </w:rPr>
        <w:t>, including</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Pr="00EC7FFD">
        <w:rPr>
          <w:rFonts w:eastAsia="Times New Roman"/>
          <w:color w:val="000000" w:themeColor="text1"/>
          <w:szCs w:val="20"/>
          <w:u w:color="000000" w:themeColor="text1"/>
        </w:rPr>
        <w:tab/>
        <w:t>medical school;</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a physician assistant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 xml:space="preserve">an </w:t>
      </w:r>
      <w:r w:rsidRPr="00EC7FFD">
        <w:rPr>
          <w:rFonts w:eastAsia="Times New Roman"/>
          <w:color w:val="000000" w:themeColor="text1"/>
          <w:szCs w:val="20"/>
          <w:u w:color="000000" w:themeColor="text1"/>
        </w:rPr>
        <w:t>advanced practice nursing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t>includes a minimum of one hundred sixty hours of instruction in one of the following clinical settings: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Pr="00EC7FFD">
        <w:rPr>
          <w:rFonts w:eastAsia="Times New Roman"/>
          <w:color w:val="000000" w:themeColor="text1"/>
          <w:szCs w:val="20"/>
          <w:u w:color="000000" w:themeColor="text1"/>
        </w:rPr>
        <w:tab/>
        <w:t>family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t xml:space="preserve">internal medicine; </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t>pediatrics;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(iv)</w:t>
      </w:r>
      <w:r w:rsidRPr="00EC7FFD">
        <w:rPr>
          <w:rFonts w:eastAsia="Times New Roman"/>
          <w:color w:val="000000" w:themeColor="text1"/>
          <w:szCs w:val="20"/>
          <w:u w:color="000000" w:themeColor="text1"/>
        </w:rPr>
        <w:tab/>
        <w:t>obstetrics and gynecology;</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w:t>
      </w:r>
      <w:r w:rsidRPr="00EC7FFD">
        <w:rPr>
          <w:rFonts w:eastAsia="Times New Roman"/>
          <w:color w:val="000000" w:themeColor="text1"/>
          <w:szCs w:val="20"/>
          <w:u w:color="000000" w:themeColor="text1"/>
        </w:rPr>
        <w:tab/>
        <w:t>emergency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w:t>
      </w:r>
      <w:r w:rsidRPr="00EC7FFD">
        <w:rPr>
          <w:rFonts w:eastAsia="Times New Roman"/>
          <w:color w:val="000000" w:themeColor="text1"/>
          <w:szCs w:val="20"/>
          <w:u w:color="000000" w:themeColor="text1"/>
        </w:rPr>
        <w:tab/>
        <w:t>psychiatry;</w:t>
      </w:r>
      <w:r>
        <w:rPr>
          <w:rFonts w:eastAsia="Times New Roman"/>
          <w:color w:val="000000" w:themeColor="text1"/>
          <w:szCs w:val="20"/>
          <w:u w:color="000000" w:themeColor="text1"/>
        </w:rPr>
        <w:t xml:space="preserve"> or</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(vii)</w:t>
      </w:r>
      <w:r w:rsidRPr="00EC7FFD">
        <w:rPr>
          <w:rFonts w:eastAsia="Times New Roman"/>
          <w:color w:val="000000" w:themeColor="text1"/>
          <w:szCs w:val="20"/>
          <w:u w:color="000000" w:themeColor="text1"/>
        </w:rPr>
        <w:tab/>
        <w:t>general surgery under the guidance of a physician, advanced practice registered nurse, or physician assistant.</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3</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‘Preceptor’ means a physician, advanced practice nurse practitioner, or physician assistant who provides supervision and instruction during student clinical training experiences, is otherwise not compensated for doing so, and provides a minimum of two required clinical ro</w:t>
      </w:r>
      <w:r>
        <w:rPr>
          <w:rFonts w:eastAsia="Times New Roman"/>
          <w:color w:val="000000" w:themeColor="text1"/>
          <w:szCs w:val="20"/>
          <w:u w:color="000000" w:themeColor="text1"/>
        </w:rPr>
        <w:t>tations within a calendar year.</w:t>
      </w:r>
    </w:p>
    <w:p w:rsidR="00EC7FFD"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sidR="00EC7FFD" w:rsidRPr="00EC7FFD">
        <w:rPr>
          <w:rFonts w:eastAsia="Times New Roman"/>
          <w:color w:val="000000" w:themeColor="text1"/>
          <w:szCs w:val="20"/>
          <w:u w:color="000000" w:themeColor="text1"/>
        </w:rPr>
        <w:t>)(1)</w:t>
      </w:r>
      <w:r w:rsidR="00EC7FFD"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00EC7FFD" w:rsidRPr="00EC7FFD">
        <w:rPr>
          <w:rFonts w:eastAsia="Times New Roman"/>
          <w:color w:val="000000" w:themeColor="text1"/>
          <w:szCs w:val="20"/>
          <w:u w:color="000000" w:themeColor="text1"/>
        </w:rPr>
        <w:t>here is allowed an income tax credit for each clinical rotation a physician serves as the</w:t>
      </w:r>
      <w:r w:rsidR="009D7445">
        <w:rPr>
          <w:rFonts w:eastAsia="Times New Roman"/>
          <w:color w:val="000000" w:themeColor="text1"/>
          <w:szCs w:val="20"/>
          <w:u w:color="000000" w:themeColor="text1"/>
        </w:rPr>
        <w:t xml:space="preserve"> preceptor for a medical school-</w:t>
      </w:r>
      <w:r w:rsidR="00EC7FFD" w:rsidRPr="00EC7FFD">
        <w:rPr>
          <w:rFonts w:eastAsia="Times New Roman"/>
          <w:color w:val="000000" w:themeColor="text1"/>
          <w:szCs w:val="20"/>
          <w:u w:color="000000" w:themeColor="text1"/>
        </w:rPr>
        <w:t>required clinical rotation, advanced practice nursing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 and physician assistant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lastRenderedPageBreak/>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one thousand dollars for each rotation served, not to exceed four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w:t>
      </w:r>
      <w:r w:rsidR="0086624B">
        <w:rPr>
          <w:rFonts w:eastAsia="Times New Roman"/>
          <w:color w:val="000000" w:themeColor="text1"/>
          <w:szCs w:val="20"/>
          <w:u w:color="000000" w:themeColor="text1"/>
        </w:rPr>
        <w:t>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C</w:t>
      </w:r>
      <w:r w:rsidRPr="00EC7FFD">
        <w:rPr>
          <w:rFonts w:eastAsia="Times New Roman"/>
          <w:color w:val="000000" w:themeColor="text1"/>
          <w:szCs w:val="20"/>
          <w:u w:color="000000" w:themeColor="text1"/>
        </w:rPr>
        <w:t>)(1)</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here is allowed an income tax credit for each clinical rotation an advanced practice registered nurse or physician assistant serves as the preceptor for an advanced practice nursing or physician assistan</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five hundred dollars for each rotation served, not to exceed two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advance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D</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 xml:space="preserve">A credit earned pursuant to this section is considered earned in the tax year in which the rotation is served. Fifty percent of the credit earned may be claimed in the tax year in which it is earned, and the remaining fifty percent may be claimed in the next tax year. However, the credit claimed in a tax year may not exceed fifty percent of the taxpayer’s remaining tax liability after all other credits have been applied. Any unused credit may be carried over to the immediately succeeding taxable years, except that the credit </w:t>
      </w:r>
      <w:r w:rsidRPr="00EC7FFD">
        <w:rPr>
          <w:rFonts w:eastAsia="Times New Roman"/>
          <w:color w:val="000000" w:themeColor="text1"/>
          <w:szCs w:val="20"/>
          <w:u w:color="000000" w:themeColor="text1"/>
        </w:rPr>
        <w:lastRenderedPageBreak/>
        <w:t>carry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over may not be used for a taxable year that begins more than ten years from the year</w:t>
      </w:r>
      <w:r w:rsidR="009D744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the credit was earned.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E</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I</w:t>
      </w:r>
      <w:r w:rsidRPr="00EC7FFD">
        <w:rPr>
          <w:rFonts w:eastAsia="Times New Roman"/>
          <w:color w:val="000000" w:themeColor="text1"/>
          <w:szCs w:val="20"/>
          <w:u w:color="000000" w:themeColor="text1"/>
        </w:rPr>
        <w:t>f a taxpayer earns the maximum annual credit amount allowed by this section and the taxpayer serves additional rotations that otherwise would have qualified for the credit, then the taxpayer may claim a deduction in an amount equal to the amount that</w:t>
      </w:r>
      <w:r w:rsidR="009D7445">
        <w:rPr>
          <w:rFonts w:eastAsia="Times New Roman"/>
          <w:color w:val="000000" w:themeColor="text1"/>
          <w:szCs w:val="20"/>
          <w:u w:color="000000" w:themeColor="text1"/>
        </w:rPr>
        <w:t xml:space="preserve"> the</w:t>
      </w:r>
      <w:r w:rsidRPr="00EC7FFD">
        <w:rPr>
          <w:rFonts w:eastAsia="Times New Roman"/>
          <w:color w:val="000000" w:themeColor="text1"/>
          <w:szCs w:val="20"/>
          <w:u w:color="000000" w:themeColor="text1"/>
        </w:rPr>
        <w:t xml:space="preserve"> credit would have equaled. A taxpayer may earn the deduction allowed by this subsection up to six times a tax year.</w:t>
      </w:r>
    </w:p>
    <w:p w:rsidR="00EC7FFD" w:rsidRPr="00EC7FFD" w:rsidRDefault="009D744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F</w:t>
      </w:r>
      <w:r>
        <w:rPr>
          <w:rFonts w:eastAsia="Times New Roman"/>
          <w:color w:val="000000" w:themeColor="text1"/>
          <w:szCs w:val="20"/>
          <w:u w:color="000000" w:themeColor="text1"/>
        </w:rPr>
        <w:t>)</w:t>
      </w:r>
      <w:r>
        <w:rPr>
          <w:rFonts w:eastAsia="Times New Roman"/>
          <w:color w:val="000000" w:themeColor="text1"/>
          <w:szCs w:val="20"/>
          <w:u w:color="000000" w:themeColor="text1"/>
        </w:rPr>
        <w:tab/>
        <w:t>By March thir</w:t>
      </w:r>
      <w:r w:rsidR="00EC7FFD" w:rsidRPr="00EC7FFD">
        <w:rPr>
          <w:rFonts w:eastAsia="Times New Roman"/>
          <w:color w:val="000000" w:themeColor="text1"/>
          <w:szCs w:val="20"/>
          <w:u w:color="000000" w:themeColor="text1"/>
        </w:rPr>
        <w:t>ty</w:t>
      </w:r>
      <w:r w:rsidR="00393A97">
        <w:rPr>
          <w:rFonts w:eastAsia="Times New Roman"/>
          <w:color w:val="000000" w:themeColor="text1"/>
          <w:szCs w:val="20"/>
          <w:u w:color="000000" w:themeColor="text1"/>
        </w:rPr>
        <w:noBreakHyphen/>
      </w:r>
      <w:r w:rsidR="00EC7FFD" w:rsidRPr="00EC7FFD">
        <w:rPr>
          <w:rFonts w:eastAsia="Times New Roman"/>
          <w:color w:val="000000" w:themeColor="text1"/>
          <w:szCs w:val="20"/>
          <w:u w:color="000000" w:themeColor="text1"/>
        </w:rPr>
        <w:t>first of each year</w:t>
      </w:r>
      <w:r>
        <w:rPr>
          <w:rFonts w:eastAsia="Times New Roman"/>
          <w:color w:val="000000" w:themeColor="text1"/>
          <w:szCs w:val="20"/>
          <w:u w:color="000000" w:themeColor="text1"/>
        </w:rPr>
        <w:t xml:space="preserve"> that the tax credit is allowed</w:t>
      </w:r>
      <w:r w:rsidR="00EC7FFD" w:rsidRPr="00EC7FFD">
        <w:rPr>
          <w:rFonts w:eastAsia="Times New Roman"/>
          <w:color w:val="000000" w:themeColor="text1"/>
          <w:szCs w:val="20"/>
          <w:u w:color="000000" w:themeColor="text1"/>
        </w:rPr>
        <w:t xml:space="preserve">, the department shall report the number of taxpayers claiming the credit allowed by this section, the total amount of credits allowed, and the number of hours </w:t>
      </w:r>
      <w:r>
        <w:rPr>
          <w:rFonts w:eastAsia="Times New Roman"/>
          <w:color w:val="000000" w:themeColor="text1"/>
          <w:szCs w:val="20"/>
          <w:u w:color="000000" w:themeColor="text1"/>
        </w:rPr>
        <w:t xml:space="preserve">that </w:t>
      </w:r>
      <w:r w:rsidR="00EC7FFD" w:rsidRPr="00EC7FFD">
        <w:rPr>
          <w:rFonts w:eastAsia="Times New Roman"/>
          <w:color w:val="000000" w:themeColor="text1"/>
          <w:szCs w:val="20"/>
          <w:u w:color="000000" w:themeColor="text1"/>
        </w:rPr>
        <w:t>the recipient taxpayers served as preceptors</w:t>
      </w:r>
      <w:r>
        <w:rPr>
          <w:rFonts w:eastAsia="Times New Roman"/>
          <w:color w:val="000000" w:themeColor="text1"/>
          <w:szCs w:val="20"/>
          <w:u w:color="000000" w:themeColor="text1"/>
        </w:rPr>
        <w:t xml:space="preserve"> </w:t>
      </w:r>
      <w:r w:rsidRPr="00EC7FFD">
        <w:rPr>
          <w:rFonts w:eastAsia="Times New Roman"/>
          <w:color w:val="000000" w:themeColor="text1"/>
          <w:szCs w:val="20"/>
          <w:u w:color="000000" w:themeColor="text1"/>
        </w:rPr>
        <w:t xml:space="preserve">to the Senate Finance Committee, the House </w:t>
      </w:r>
      <w:r>
        <w:rPr>
          <w:rFonts w:eastAsia="Times New Roman"/>
          <w:color w:val="000000" w:themeColor="text1"/>
          <w:szCs w:val="20"/>
          <w:u w:color="000000" w:themeColor="text1"/>
        </w:rPr>
        <w:t xml:space="preserve">of Representatives </w:t>
      </w:r>
      <w:r w:rsidRPr="00EC7FFD">
        <w:rPr>
          <w:rFonts w:eastAsia="Times New Roman"/>
          <w:color w:val="000000" w:themeColor="text1"/>
          <w:szCs w:val="20"/>
          <w:u w:color="000000" w:themeColor="text1"/>
        </w:rPr>
        <w:t>Ways and Means Committee, and the Governor</w:t>
      </w:r>
      <w:r w:rsidR="00EC7FFD" w:rsidRPr="00EC7FFD">
        <w:rPr>
          <w:rFonts w:eastAsia="Times New Roman"/>
          <w:color w:val="000000" w:themeColor="text1"/>
          <w:szCs w:val="20"/>
          <w:u w:color="000000" w:themeColor="text1"/>
        </w:rPr>
        <w:t>. The department must disaggregate taxpayers between physicians, advanced practice registered nurses, and physician assistants.</w:t>
      </w:r>
    </w:p>
    <w:p w:rsidR="00EC7FFD" w:rsidRPr="005C618F"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G</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The department may consult with a designated administrative entity to determine eligibility and may require any proof</w:t>
      </w:r>
      <w:r w:rsidR="00004A5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it determines necessary to efficiently administer the credit allowed by this section. The department may promulgate regulations necessary to implement the provisions of this section.”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sidR="00EC7FFD" w:rsidRPr="00EC7FFD">
        <w:rPr>
          <w:rFonts w:eastAsia="Times New Roman"/>
          <w:snapToGrid w:val="0"/>
          <w:szCs w:val="20"/>
        </w:rPr>
        <w:t>Section 12-6-1140 of the 1976 Code is amended by adding an appropriately numbered item at the end to read:</w:t>
      </w:r>
    </w:p>
    <w:p w:rsidR="0086624B" w:rsidRP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u w:color="000000" w:themeColor="text1"/>
        </w:rPr>
      </w:pPr>
      <w:r w:rsidRPr="00EC7FFD">
        <w:rPr>
          <w:rFonts w:eastAsia="Times New Roman"/>
          <w:snapToGrid w:val="0"/>
          <w:szCs w:val="20"/>
        </w:rPr>
        <w:tab/>
        <w:t>“(</w:t>
      </w:r>
      <w:r w:rsidR="0086624B">
        <w:rPr>
          <w:rFonts w:eastAsia="Times New Roman"/>
          <w:snapToGrid w:val="0"/>
          <w:szCs w:val="20"/>
        </w:rPr>
        <w:tab/>
      </w:r>
      <w:r w:rsidRPr="00EC7FFD">
        <w:rPr>
          <w:rFonts w:eastAsia="Times New Roman"/>
          <w:snapToGrid w:val="0"/>
          <w:szCs w:val="20"/>
        </w:rPr>
        <w:t>)(a)</w:t>
      </w:r>
      <w:r w:rsidRPr="00EC7FFD">
        <w:rPr>
          <w:rFonts w:eastAsia="Times New Roman"/>
          <w:snapToGrid w:val="0"/>
          <w:szCs w:val="20"/>
        </w:rPr>
        <w:tab/>
        <w:t>amounts earned pursuant to Sect</w:t>
      </w:r>
      <w:r w:rsidR="005C618F">
        <w:rPr>
          <w:rFonts w:eastAsia="Times New Roman"/>
          <w:snapToGrid w:val="0"/>
          <w:szCs w:val="20"/>
        </w:rPr>
        <w:t>ion 12-6-3790(E</w:t>
      </w:r>
      <w:r w:rsidRPr="00EC7FFD">
        <w:rPr>
          <w:rFonts w:eastAsia="Times New Roman"/>
          <w:snapToGrid w:val="0"/>
          <w:szCs w:val="20"/>
        </w:rPr>
        <w:t xml:space="preserve">) for </w:t>
      </w:r>
      <w:r w:rsidRPr="00EC7FFD">
        <w:rPr>
          <w:rFonts w:eastAsia="Times New Roman"/>
          <w:color w:val="000000" w:themeColor="text1"/>
          <w:szCs w:val="20"/>
          <w:u w:color="000000" w:themeColor="text1"/>
        </w:rPr>
        <w:t>each clinical rotation a physician serves as the</w:t>
      </w:r>
      <w:r w:rsidR="00004A55">
        <w:rPr>
          <w:rFonts w:eastAsia="Times New Roman"/>
          <w:color w:val="000000" w:themeColor="text1"/>
          <w:szCs w:val="20"/>
          <w:u w:color="000000" w:themeColor="text1"/>
        </w:rPr>
        <w:t xml:space="preserve"> preceptor for a medical school-</w:t>
      </w:r>
      <w:r w:rsidRPr="00EC7FFD">
        <w:rPr>
          <w:rFonts w:eastAsia="Times New Roman"/>
          <w:color w:val="000000" w:themeColor="text1"/>
          <w:szCs w:val="20"/>
          <w:u w:color="000000" w:themeColor="text1"/>
        </w:rPr>
        <w:t>required clinical rotation, advanced practice nursing program</w:t>
      </w:r>
      <w:r w:rsidR="00004A5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required clinical rotation, </w:t>
      </w:r>
      <w:r w:rsidR="00004A55">
        <w:rPr>
          <w:rFonts w:eastAsia="Times New Roman"/>
          <w:color w:val="000000" w:themeColor="text1"/>
          <w:szCs w:val="20"/>
          <w:u w:color="000000" w:themeColor="text1"/>
        </w:rPr>
        <w:t>and physician assistant program-required clinical rotation; or</w:t>
      </w:r>
    </w:p>
    <w:p w:rsidR="00537BA5"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r>
      <w:r w:rsidRPr="00EC7FFD">
        <w:rPr>
          <w:rFonts w:eastAsia="Times New Roman"/>
          <w:snapToGrid w:val="0"/>
          <w:szCs w:val="20"/>
        </w:rPr>
        <w:t>amounts earned pursuant to Section 12-6-3790(</w:t>
      </w:r>
      <w:r w:rsidR="005C618F">
        <w:rPr>
          <w:rFonts w:eastAsia="Times New Roman"/>
          <w:snapToGrid w:val="0"/>
          <w:szCs w:val="20"/>
        </w:rPr>
        <w:t>E</w:t>
      </w:r>
      <w:r w:rsidRPr="00EC7FFD">
        <w:rPr>
          <w:rFonts w:eastAsia="Times New Roman"/>
          <w:snapToGrid w:val="0"/>
          <w:szCs w:val="20"/>
        </w:rPr>
        <w:t xml:space="preserve">) for </w:t>
      </w:r>
      <w:r w:rsidRPr="00EC7FFD">
        <w:rPr>
          <w:rFonts w:eastAsia="Times New Roman"/>
          <w:color w:val="000000" w:themeColor="text1"/>
          <w:szCs w:val="20"/>
          <w:u w:color="000000" w:themeColor="text1"/>
        </w:rPr>
        <w:t>each clinical rotation an advanced practice registered nurse or physician assistant serves as the preceptor for an advanced practice</w:t>
      </w:r>
      <w:r w:rsidR="00004A55">
        <w:rPr>
          <w:rFonts w:eastAsia="Times New Roman"/>
          <w:color w:val="000000" w:themeColor="text1"/>
          <w:szCs w:val="20"/>
          <w:u w:color="000000" w:themeColor="text1"/>
        </w:rPr>
        <w:t xml:space="preserve"> nursing or physician assistant-</w:t>
      </w:r>
      <w:r w:rsidRPr="00EC7FFD">
        <w:rPr>
          <w:rFonts w:eastAsia="Times New Roman"/>
          <w:color w:val="000000" w:themeColor="text1"/>
          <w:szCs w:val="20"/>
          <w:u w:color="000000" w:themeColor="text1"/>
        </w:rPr>
        <w:t>required clinical rotation.”</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Pr="00522CE0"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6624B">
        <w:rPr>
          <w:rFonts w:eastAsia="Times New Roman"/>
        </w:rPr>
        <w:t>3</w:t>
      </w:r>
      <w:r>
        <w:rPr>
          <w:rFonts w:eastAsia="Times New Roman"/>
        </w:rPr>
        <w:t>.</w:t>
      </w:r>
      <w:r>
        <w:rPr>
          <w:rFonts w:eastAsia="Times New Roman"/>
        </w:rPr>
        <w:tab/>
        <w:t>This act takes effect upon approval by the Governor</w:t>
      </w:r>
      <w:r w:rsidR="009D7445">
        <w:rPr>
          <w:rFonts w:eastAsia="Times New Roman"/>
        </w:rPr>
        <w:t xml:space="preserve"> and shall apply to tax years 2020 through 2025</w:t>
      </w:r>
      <w:r>
        <w:rPr>
          <w:rFonts w:eastAsia="Times New Roman"/>
        </w:rPr>
        <w:t>.</w:t>
      </w:r>
      <w:r w:rsidR="009D7445">
        <w:rPr>
          <w:rFonts w:eastAsia="Times New Roman"/>
        </w:rPr>
        <w:t xml:space="preserve"> </w:t>
      </w:r>
      <w:r w:rsidR="009D7445" w:rsidRPr="00EC7FFD">
        <w:rPr>
          <w:rFonts w:eastAsia="Times New Roman"/>
          <w:color w:val="000000" w:themeColor="text1"/>
          <w:szCs w:val="20"/>
          <w:u w:color="000000" w:themeColor="text1"/>
        </w:rPr>
        <w:t>Section 12</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009D7445"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 xml:space="preserve"> and </w:t>
      </w:r>
      <w:r w:rsidR="009D7445" w:rsidRPr="00EC7FFD">
        <w:rPr>
          <w:rFonts w:eastAsia="Times New Roman"/>
          <w:snapToGrid w:val="0"/>
          <w:szCs w:val="20"/>
        </w:rPr>
        <w:t>Section 12-6-1140</w:t>
      </w:r>
      <w:r w:rsidR="009D7445">
        <w:rPr>
          <w:rFonts w:eastAsia="Times New Roman"/>
          <w:snapToGrid w:val="0"/>
          <w:szCs w:val="20"/>
        </w:rPr>
        <w:t>(</w:t>
      </w:r>
      <w:r w:rsidR="009D7445">
        <w:rPr>
          <w:rFonts w:eastAsia="Times New Roman"/>
          <w:snapToGrid w:val="0"/>
          <w:szCs w:val="20"/>
        </w:rPr>
        <w:tab/>
        <w:t>)</w:t>
      </w:r>
      <w:r w:rsidR="009D7445">
        <w:rPr>
          <w:rFonts w:eastAsia="Times New Roman"/>
        </w:rPr>
        <w:t xml:space="preserve"> are repealed January 1, 2026.</w:t>
      </w:r>
    </w:p>
    <w:p w:rsidR="00F1576F" w:rsidRDefault="00393A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70CA" w:rsidRDefault="000970CA" w:rsidP="000970CA">
      <w:pPr>
        <w:suppressAutoHyphens/>
        <w:jc w:val="both"/>
        <w:rPr>
          <w:rFonts w:eastAsia="Times New Roman"/>
        </w:rPr>
      </w:pPr>
    </w:p>
    <w:sectPr w:rsidR="000970CA" w:rsidSect="000970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445" w:rsidRDefault="009D7445" w:rsidP="00522CE0">
      <w:r>
        <w:separator/>
      </w:r>
    </w:p>
  </w:endnote>
  <w:endnote w:type="continuationSeparator" w:id="0">
    <w:p w:rsidR="009D7445" w:rsidRDefault="009D74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B8A3E2-79D0-4236-84B9-912A18D5F3B5}"/>
    <w:embedBold r:id="rId2" w:fontKey="{4C7E9D97-BDB9-459C-BEDD-12132E20DAF7}"/>
  </w:font>
  <w:font w:name="Calibri">
    <w:panose1 w:val="020F0502020204030204"/>
    <w:charset w:val="00"/>
    <w:family w:val="swiss"/>
    <w:pitch w:val="variable"/>
    <w:sig w:usb0="E00002FF" w:usb1="4000ACFF" w:usb2="00000001" w:usb3="00000000" w:csb0="0000019F" w:csb1="00000000"/>
    <w:embedRegular r:id="rId3" w:fontKey="{F14B0A37-0BF6-429F-8E23-536A7826E5E9}"/>
  </w:font>
  <w:font w:name="Cambria">
    <w:panose1 w:val="02040503050406030204"/>
    <w:charset w:val="00"/>
    <w:family w:val="roman"/>
    <w:pitch w:val="variable"/>
    <w:sig w:usb0="E00002FF" w:usb1="400004FF" w:usb2="00000000" w:usb3="00000000" w:csb0="0000019F" w:csb1="00000000"/>
    <w:embedRegular r:id="rId4" w:fontKey="{74BE7982-6958-4E9A-87B1-0955F59DDA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76F" w:rsidRPr="000970CA" w:rsidRDefault="000970CA" w:rsidP="000970CA">
    <w:pPr>
      <w:pStyle w:val="Footer"/>
      <w:tabs>
        <w:tab w:val="clear" w:pos="4680"/>
        <w:tab w:val="clear" w:pos="9360"/>
        <w:tab w:val="center" w:pos="2995"/>
      </w:tabs>
      <w:spacing w:before="120"/>
    </w:pPr>
    <w:r>
      <w:t>[314]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445" w:rsidRDefault="009D7445" w:rsidP="00522CE0">
      <w:r>
        <w:separator/>
      </w:r>
    </w:p>
  </w:footnote>
  <w:footnote w:type="continuationSeparator" w:id="0">
    <w:p w:rsidR="009D7445" w:rsidRDefault="009D74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INCO.KMM.TCA"/>
    <w:docVar w:name="CoverAttorneyInitials" w:val="KMM"/>
    <w:docVar w:name="CoverAttorneyLastName" w:val="Moffitt"/>
    <w:docVar w:name="CoverBillType" w:val="b"/>
    <w:docVar w:name="CoverSenator" w:val="TCA"/>
    <w:docVar w:name="dvBillNumber" w:val="314"/>
    <w:docVar w:name="dvBillNumberPrefix" w:val="S. "/>
    <w:docVar w:name="dvOriginalBody" w:val="Senate"/>
    <w:docVar w:name="fulldraftpath" w:val="L:\S-RES\TCA\007INCO.KMM.TCA.DOCX"/>
    <w:docVar w:name="NameofBody" w:val="S"/>
    <w:docVar w:name="vgroup2" w:val="S-RES"/>
  </w:docVars>
  <w:rsids>
    <w:rsidRoot w:val="00537BA5"/>
    <w:rsid w:val="00004A55"/>
    <w:rsid w:val="00042AC1"/>
    <w:rsid w:val="00046516"/>
    <w:rsid w:val="00072458"/>
    <w:rsid w:val="0007601D"/>
    <w:rsid w:val="000970CA"/>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3A97"/>
    <w:rsid w:val="003D6E2B"/>
    <w:rsid w:val="003E7597"/>
    <w:rsid w:val="00413EBF"/>
    <w:rsid w:val="0044020F"/>
    <w:rsid w:val="00450668"/>
    <w:rsid w:val="00454138"/>
    <w:rsid w:val="004813A2"/>
    <w:rsid w:val="004952FA"/>
    <w:rsid w:val="004B6A22"/>
    <w:rsid w:val="004D7F37"/>
    <w:rsid w:val="00507B5B"/>
    <w:rsid w:val="00522CE0"/>
    <w:rsid w:val="00537BA5"/>
    <w:rsid w:val="00541951"/>
    <w:rsid w:val="00565148"/>
    <w:rsid w:val="00567BD8"/>
    <w:rsid w:val="00570403"/>
    <w:rsid w:val="00593361"/>
    <w:rsid w:val="005A413B"/>
    <w:rsid w:val="005A5017"/>
    <w:rsid w:val="005A648C"/>
    <w:rsid w:val="005C618F"/>
    <w:rsid w:val="005F07AC"/>
    <w:rsid w:val="005F1745"/>
    <w:rsid w:val="006A1802"/>
    <w:rsid w:val="006C0CBB"/>
    <w:rsid w:val="006C74EA"/>
    <w:rsid w:val="00720D40"/>
    <w:rsid w:val="00721C17"/>
    <w:rsid w:val="007318D4"/>
    <w:rsid w:val="00765784"/>
    <w:rsid w:val="007A4390"/>
    <w:rsid w:val="007E5CB7"/>
    <w:rsid w:val="008314D2"/>
    <w:rsid w:val="0086624B"/>
    <w:rsid w:val="00870F6F"/>
    <w:rsid w:val="008B2F42"/>
    <w:rsid w:val="008C3697"/>
    <w:rsid w:val="008E185F"/>
    <w:rsid w:val="008F023B"/>
    <w:rsid w:val="00904E16"/>
    <w:rsid w:val="009162B3"/>
    <w:rsid w:val="00927C62"/>
    <w:rsid w:val="00983951"/>
    <w:rsid w:val="00984124"/>
    <w:rsid w:val="00984640"/>
    <w:rsid w:val="00995C37"/>
    <w:rsid w:val="009C118A"/>
    <w:rsid w:val="009D7445"/>
    <w:rsid w:val="00A02011"/>
    <w:rsid w:val="00A4011E"/>
    <w:rsid w:val="00A846F8"/>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7FFD"/>
    <w:rsid w:val="00F0234A"/>
    <w:rsid w:val="00F05CF2"/>
    <w:rsid w:val="00F1576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2CA95EE-BAD9-41E0-9E53-E21E1D351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4</Pages>
  <Words>1221</Words>
  <Characters>6833</Characters>
  <Application>Microsoft Office Word</Application>
  <DocSecurity>0</DocSecurity>
  <Lines>165</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 Text of Previous Version (Jan. 8, 2019) - South Carolina Legislature Online</dc:title>
  <dc:subject/>
  <dc:creator>Rebecca Landau</dc:creator>
  <cp:keywords/>
  <dc:description/>
  <cp:lastModifiedBy>S Volk</cp:lastModifiedBy>
  <cp:revision>2</cp:revision>
  <dcterms:created xsi:type="dcterms:W3CDTF">2019-01-08T22:19:00Z</dcterms:created>
  <dcterms:modified xsi:type="dcterms:W3CDTF">2019-01-08T22:19:00Z</dcterms:modified>
</cp:coreProperties>
</file>