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43CE" w:rsidRP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Pr="002B43CE" w:rsidRDefault="002B43CE" w:rsidP="002B43CE">
      <w:pPr>
        <w:tabs>
          <w:tab w:val="right" w:pos="5933"/>
        </w:tabs>
        <w:suppressAutoHyphens/>
      </w:pPr>
      <w:r>
        <w:tab/>
      </w:r>
      <w:r>
        <w:rPr>
          <w:b/>
          <w:sz w:val="36"/>
        </w:rPr>
        <w:t>H. 3210</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Clyburn, Collins, Burns, Clary, W. Cox, Morgan, Hyde, Stringer, Elliott, B. Cox, Gagnon, Caskey, Bannister, Willis, Sottile, Stavrinakis, Daning, Blackwell, Taylor, Forrester, Fry, West, Finlay, Simrill, V.S. Moss, Bryant, Bales, D.C. Moss, Erickson, Herbkersman and Whitmire</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23DBA" w:rsidRPr="002B43CE" w:rsidRDefault="00B23DBA"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43CE" w:rsidRP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3210) </w:t>
      </w: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Act 80 of 2013, relating to the High Growth Small Business Job Creation Act, so as to reauthorize the act for an additional six years, etc., respectfully</w:t>
      </w:r>
    </w:p>
    <w:p w:rsidR="002B43CE" w:rsidRP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2B43CE" w:rsidRP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P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43CE" w:rsidRPr="00E51941" w:rsidRDefault="002B43CE" w:rsidP="002B43CE">
      <w:pPr>
        <w:rPr>
          <w:b/>
        </w:rPr>
      </w:pPr>
      <w:r w:rsidRPr="00E51941">
        <w:rPr>
          <w:b/>
        </w:rPr>
        <w:t>Explanation of Fiscal Impact</w:t>
      </w:r>
    </w:p>
    <w:p w:rsidR="002B43CE" w:rsidRPr="00E51941" w:rsidRDefault="002B43CE" w:rsidP="002B43CE">
      <w:pPr>
        <w:rPr>
          <w:rFonts w:eastAsia="Calibri"/>
          <w:b/>
        </w:rPr>
      </w:pPr>
      <w:r w:rsidRPr="00E51941">
        <w:rPr>
          <w:rFonts w:eastAsia="Calibri"/>
          <w:b/>
        </w:rPr>
        <w:t>Introduced on January 8, 2019</w:t>
      </w:r>
    </w:p>
    <w:p w:rsidR="002B43CE" w:rsidRPr="00E51941" w:rsidRDefault="002B43CE" w:rsidP="002B43CE">
      <w:pPr>
        <w:rPr>
          <w:b/>
        </w:rPr>
      </w:pPr>
      <w:r w:rsidRPr="00E51941">
        <w:rPr>
          <w:rFonts w:eastAsia="Calibri"/>
          <w:b/>
        </w:rPr>
        <w:t>State Expenditure</w:t>
      </w:r>
    </w:p>
    <w:p w:rsidR="002B43CE" w:rsidRPr="00E51941" w:rsidRDefault="002B43CE" w:rsidP="002B43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1941">
        <w:rPr>
          <w:sz w:val="22"/>
        </w:rPr>
        <w:t xml:space="preserve">This bill extends the High Growth in Small Business Job Creation Act of 2013 set to expire on December 31, 2019, until December 31, 2025.  The Act created a nonrefundable income tax credit for angel investors contributing capital to a qualified business.  Angel investors accredited by the U.S. Securities and Exchange Commission and required to pay taxes in this state are eligible for the tax credit for investments in qualified businesses.  In order to become a qualified business, a company must meet certain </w:t>
      </w:r>
      <w:r w:rsidRPr="00E51941">
        <w:rPr>
          <w:sz w:val="22"/>
        </w:rPr>
        <w:lastRenderedPageBreak/>
        <w:t>requirements and register with the Secretary of State.  Qualified businesses must meet organizational requirements and primarily engage in manufacturing, processing, warehousing, wholesaling, software development, information technology services, research and development, or similar services.</w:t>
      </w:r>
    </w:p>
    <w:p w:rsidR="002B43CE" w:rsidRPr="00E51941" w:rsidRDefault="002B43CE" w:rsidP="002B43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51941">
        <w:rPr>
          <w:b/>
          <w:sz w:val="22"/>
        </w:rPr>
        <w:t>Department of Revenue.</w:t>
      </w:r>
      <w:r w:rsidRPr="00E51941">
        <w:rPr>
          <w:sz w:val="22"/>
        </w:rPr>
        <w:t xml:space="preserve"> The Act directs DOR to administer the tax credit.  Because the total amount of credits allowed may not exceed $5,000,000 for all taxpayers in a calendar year, investors are required to apply to DOR for preapproval of the credit.  This ensures that the total amount of credits does not exceed the limitation.   Each year DOR must notify taxpayers of the amount they may claim.  If the total credits exceed the limitation, the tax credits must be allocated among the angel investors who filed a timely application on a pro rata basis.   </w:t>
      </w:r>
    </w:p>
    <w:p w:rsidR="002B43CE" w:rsidRPr="00E51941" w:rsidRDefault="002B43CE" w:rsidP="002B43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1941">
        <w:rPr>
          <w:sz w:val="22"/>
        </w:rPr>
        <w:t>Additionally, DOR is required to report to the House Ways and Means Committee, the Senate Finance Committee, and the Governor by county the number of angel investor tax credit applications the department has received, the number of applications approved, and the tax credits approved each year.  Extending the availability of the credit through 2025 is not expected to impact expenditures for DOR, as the department is currently administering the tax credit and will continue this process.</w:t>
      </w:r>
    </w:p>
    <w:p w:rsidR="002B43CE" w:rsidRPr="00E51941" w:rsidRDefault="002B43CE" w:rsidP="002B43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51941">
        <w:rPr>
          <w:b/>
          <w:sz w:val="22"/>
        </w:rPr>
        <w:t xml:space="preserve">Secretary of State. </w:t>
      </w:r>
      <w:r w:rsidRPr="00E51941">
        <w:rPr>
          <w:sz w:val="22"/>
        </w:rPr>
        <w:t>Businesses are required to register with the Secretary of State to ensure that they meet the requirements of the Act.  Further, the Secretary is required to produce an annual report to the House Ways and Means Committee, the Senate Finance Committee, and the Governor listing the businesses that have registered with the Secretary as qualified businesses and other relevant statistics on the program.  Based upon previous information from the Secretary of State’s Office regarding similar legislation, extending the availability of the credit through 2025 is not expected to impact expenditures for the agency, as staff is currently performing these responsibilities and will continue this process.</w:t>
      </w:r>
    </w:p>
    <w:p w:rsidR="002B43CE" w:rsidRPr="00E51941" w:rsidRDefault="002B43CE" w:rsidP="002B43CE">
      <w:pPr>
        <w:rPr>
          <w:b/>
        </w:rPr>
      </w:pPr>
      <w:r w:rsidRPr="00E51941">
        <w:rPr>
          <w:b/>
        </w:rPr>
        <w:t>State Reve</w:t>
      </w:r>
      <w:r>
        <w:rPr>
          <w:b/>
        </w:rPr>
        <w:t>n</w:t>
      </w:r>
      <w:r w:rsidRPr="00E51941">
        <w:rPr>
          <w:b/>
        </w:rPr>
        <w:t>ue</w:t>
      </w:r>
    </w:p>
    <w:p w:rsidR="002B43CE" w:rsidRPr="00E51941" w:rsidRDefault="002B43CE" w:rsidP="002B43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1941">
        <w:rPr>
          <w:sz w:val="22"/>
        </w:rPr>
        <w:t xml:space="preserve">This bill extends the High Growth in Small Business Job Creation Act of 2013 set to expire on December 31, 2019, until December 31, 2025.  Under the Act, an angel investor is entitled to a nonrefundable income tax credit of 35 percent of its qualified investment.  Of the credit amount earned, 50 percent of the credit may be applied to the angel investor’s net income tax liability in the tax year during which the qualified investment is made, and 50 percent of the credit may be applied to the angel investor’s net income tax liability in the tax </w:t>
      </w:r>
      <w:r w:rsidRPr="00E51941">
        <w:rPr>
          <w:sz w:val="22"/>
        </w:rPr>
        <w:lastRenderedPageBreak/>
        <w:t xml:space="preserve">years after the investment is made. The credit may be carried forward for up to ten years.  </w:t>
      </w:r>
    </w:p>
    <w:p w:rsidR="002B43CE" w:rsidRPr="00E51941" w:rsidRDefault="002B43CE" w:rsidP="002B43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1941">
        <w:rPr>
          <w:sz w:val="22"/>
        </w:rPr>
        <w:t xml:space="preserve">The total amount of credits allowed may not exceed $5,000,000 for all taxpayers in a calendar year.  The aggregate credit amount earned by an individual for one or more qualified investments in a tax year, either directly or allocated to a person by a pass-through entity, is limited to $100,000.  The credit is transferrable and may be sold, exchanged, or otherwise transferred.  However, a tax credit or increment thereof may only be transferred once.  </w:t>
      </w:r>
    </w:p>
    <w:p w:rsidR="002B43CE" w:rsidRPr="00E51941" w:rsidRDefault="002B43CE" w:rsidP="002B43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1941">
        <w:rPr>
          <w:sz w:val="22"/>
        </w:rPr>
        <w:t xml:space="preserve">The amount of tax credits approved by DOR has grown annually since the inception of the Act.  DOR approved $3,820,956 in tax credits for 2016 and the maximum of $5,000,000 for 2017.  Based upon this experience, we anticipate that tax credits will reach the maximum in future years as well.  Extending the tax credit for tax years 2020 through 2025 is expected to decrease </w:t>
      </w:r>
      <w:r>
        <w:rPr>
          <w:sz w:val="22"/>
        </w:rPr>
        <w:t>g</w:t>
      </w:r>
      <w:r w:rsidRPr="00E51941">
        <w:rPr>
          <w:sz w:val="22"/>
        </w:rPr>
        <w:t xml:space="preserve">eneral </w:t>
      </w:r>
      <w:r>
        <w:rPr>
          <w:sz w:val="22"/>
        </w:rPr>
        <w:t>f</w:t>
      </w:r>
      <w:r w:rsidRPr="00E51941">
        <w:rPr>
          <w:sz w:val="22"/>
        </w:rPr>
        <w:t xml:space="preserve">und individual income tax revenue by $5,000,000 annually in FY 2020-21 through FY 2025-26.  </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B43CE" w:rsidRP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43CE" w:rsidSect="002B43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6FE" w:rsidRDefault="006356F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3E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80 OF 2013, RELATING TO THE HIGH GROWTH SMALL BUSINESS JOB CREATION ACT, SO AS TO REAUTHORIZE THE ACT FOR AN ADDITIONAL SIX YEARS.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FB" w:rsidRDefault="007E78FB" w:rsidP="007E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1.B. of Act 80 of 2013 is amended to read:</w:t>
      </w:r>
    </w:p>
    <w:p w:rsidR="007E78FB" w:rsidRDefault="007E78FB" w:rsidP="007E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FB" w:rsidRDefault="007E78FB" w:rsidP="007E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2604B">
        <w:rPr>
          <w:color w:val="000000" w:themeColor="text1"/>
          <w:u w:color="000000" w:themeColor="text1"/>
        </w:rPr>
        <w:t xml:space="preserve">The provisions of Chapter 44, Title 11, contained in this act are repealed on December 31, </w:t>
      </w:r>
      <w:r w:rsidRPr="00821007">
        <w:rPr>
          <w:strike/>
          <w:color w:val="000000" w:themeColor="text1"/>
          <w:u w:color="000000" w:themeColor="text1"/>
        </w:rPr>
        <w:t>2019</w:t>
      </w:r>
      <w:r>
        <w:rPr>
          <w:color w:val="000000" w:themeColor="text1"/>
          <w:u w:color="000000" w:themeColor="text1"/>
        </w:rPr>
        <w:t xml:space="preserve"> </w:t>
      </w:r>
      <w:r>
        <w:rPr>
          <w:color w:val="000000" w:themeColor="text1"/>
          <w:u w:val="single" w:color="000000" w:themeColor="text1"/>
        </w:rPr>
        <w:t>202</w:t>
      </w:r>
      <w:r w:rsidR="00920E29">
        <w:rPr>
          <w:color w:val="000000" w:themeColor="text1"/>
          <w:u w:val="single" w:color="000000" w:themeColor="text1"/>
        </w:rPr>
        <w:t>5</w:t>
      </w:r>
      <w:r w:rsidRPr="00C2604B">
        <w:rPr>
          <w:color w:val="000000" w:themeColor="text1"/>
          <w:u w:color="000000" w:themeColor="text1"/>
        </w:rPr>
        <w:t>.  Any carry forward credits shall continue to be allowed until the ten year time period in Section 11</w:t>
      </w:r>
      <w:r>
        <w:rPr>
          <w:color w:val="000000" w:themeColor="text1"/>
          <w:u w:color="000000" w:themeColor="text1"/>
        </w:rPr>
        <w:noBreakHyphen/>
      </w:r>
      <w:r w:rsidRPr="00C2604B">
        <w:rPr>
          <w:color w:val="000000" w:themeColor="text1"/>
          <w:u w:color="000000" w:themeColor="text1"/>
        </w:rPr>
        <w:t>44</w:t>
      </w:r>
      <w:r>
        <w:rPr>
          <w:color w:val="000000" w:themeColor="text1"/>
          <w:u w:color="000000" w:themeColor="text1"/>
        </w:rPr>
        <w:noBreakHyphen/>
      </w:r>
      <w:r w:rsidRPr="00C2604B">
        <w:rPr>
          <w:color w:val="000000" w:themeColor="text1"/>
          <w:u w:color="000000" w:themeColor="text1"/>
        </w:rPr>
        <w:t>40(B) is completed.</w:t>
      </w:r>
      <w:r>
        <w:rPr>
          <w:color w:val="000000" w:themeColor="text1"/>
          <w:u w:color="000000" w:themeColor="text1"/>
        </w:rPr>
        <w:t>”</w:t>
      </w:r>
    </w:p>
    <w:p w:rsidR="007E78FB" w:rsidRDefault="007E78FB" w:rsidP="007E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23" w:rsidRDefault="007E78FB" w:rsidP="007E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64925" w:rsidRDefault="0010776B" w:rsidP="00A95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1202" w:rsidRDefault="00EE1202" w:rsidP="00EE1202">
      <w:pPr>
        <w:suppressAutoHyphens/>
      </w:pPr>
    </w:p>
    <w:sectPr w:rsidR="00EE1202" w:rsidSect="002B43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E23" w:rsidRDefault="00613E23" w:rsidP="009F0C77">
      <w:r>
        <w:separator/>
      </w:r>
    </w:p>
  </w:endnote>
  <w:endnote w:type="continuationSeparator" w:id="0">
    <w:p w:rsidR="00613E23" w:rsidRDefault="00613E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7433B21-1425-4D54-8AB9-2D1D95594290}"/>
    <w:embedBold r:id="rId2" w:fontKey="{3C5BCE6A-4D65-4561-A153-6B4634C34D6B}"/>
  </w:font>
  <w:font w:name="Calibri">
    <w:panose1 w:val="020F0502020204030204"/>
    <w:charset w:val="00"/>
    <w:family w:val="swiss"/>
    <w:pitch w:val="variable"/>
    <w:sig w:usb0="E0002AFF" w:usb1="C000247B" w:usb2="00000009" w:usb3="00000000" w:csb0="000001FF" w:csb1="00000000"/>
    <w:embedRegular r:id="rId3" w:fontKey="{8677D8AE-A219-4EB6-A6B1-4ED06D827126}"/>
    <w:embedBold r:id="rId4" w:fontKey="{1A72E61E-637E-479E-A99E-005269986CF4}"/>
  </w:font>
  <w:font w:name="Cambria">
    <w:panose1 w:val="02040503050406030204"/>
    <w:charset w:val="00"/>
    <w:family w:val="roman"/>
    <w:pitch w:val="variable"/>
    <w:sig w:usb0="E00006FF" w:usb1="420024FF" w:usb2="02000000" w:usb3="00000000" w:csb0="0000019F" w:csb1="00000000"/>
    <w:embedRegular r:id="rId5" w:fontKey="{1E7291C8-83A8-4D0C-A7E7-5A44B3D3E2A8}"/>
  </w:font>
  <w:font w:name="Segoe UI">
    <w:panose1 w:val="020B0502040204020203"/>
    <w:charset w:val="00"/>
    <w:family w:val="swiss"/>
    <w:pitch w:val="variable"/>
    <w:sig w:usb0="E4002EFF" w:usb1="C000E47F" w:usb2="00000009" w:usb3="00000000" w:csb0="000001FF" w:csb1="00000000"/>
    <w:embedRegular r:id="rId6" w:fontKey="{675D0B50-A770-4B1C-9801-CC516139A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925" w:rsidRPr="006356FE" w:rsidRDefault="006356FE" w:rsidP="006356FE">
    <w:pPr>
      <w:pStyle w:val="Footer"/>
      <w:tabs>
        <w:tab w:val="clear" w:pos="4680"/>
        <w:tab w:val="clear" w:pos="9360"/>
        <w:tab w:val="center" w:pos="2995"/>
      </w:tabs>
      <w:spacing w:before="120"/>
    </w:pPr>
    <w:r>
      <w:t>[3210</w:t>
    </w:r>
    <w:r w:rsidR="002B43CE">
      <w:t>-</w:t>
    </w:r>
    <w:r w:rsidR="002B43CE">
      <w:fldChar w:fldCharType="begin"/>
    </w:r>
    <w:r w:rsidR="002B43CE">
      <w:instrText xml:space="preserve"> PAGE  \* MERGEFORMAT </w:instrText>
    </w:r>
    <w:r w:rsidR="002B43CE">
      <w:fldChar w:fldCharType="separate"/>
    </w:r>
    <w:r w:rsidR="00EE1202">
      <w:rPr>
        <w:noProof/>
      </w:rPr>
      <w:t>3</w:t>
    </w:r>
    <w:r w:rsidR="002B43CE">
      <w:fldChar w:fldCharType="end"/>
    </w:r>
    <w:r w:rsidR="002B43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3CE" w:rsidRPr="006356FE" w:rsidRDefault="002B43CE" w:rsidP="006356FE">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EE12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E23" w:rsidRDefault="00613E23" w:rsidP="009F0C77">
      <w:r>
        <w:separator/>
      </w:r>
    </w:p>
  </w:footnote>
  <w:footnote w:type="continuationSeparator" w:id="0">
    <w:p w:rsidR="00613E23" w:rsidRDefault="00613E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DG19"/>
    <w:docVar w:name="CoverBillType" w:val="b"/>
    <w:docVar w:name="DocPath" w:val="L:\Council\bills\NBD\11052DG19.DOCX"/>
    <w:docVar w:name="dvBillNumber" w:val="3210"/>
    <w:docVar w:name="dvBillNumberPrefix" w:val="H. "/>
    <w:docVar w:name="dvOriginalBody" w:val="House"/>
    <w:docVar w:name="dvSteno" w:val="NBD"/>
    <w:docVar w:name="NameofBody" w:val="h"/>
    <w:docVar w:name="vGroup2" w:val="Council"/>
  </w:docVars>
  <w:rsids>
    <w:rsidRoot w:val="00613E23"/>
    <w:rsid w:val="00011869"/>
    <w:rsid w:val="00015CD6"/>
    <w:rsid w:val="00064925"/>
    <w:rsid w:val="000E0100"/>
    <w:rsid w:val="000E1785"/>
    <w:rsid w:val="000F40FA"/>
    <w:rsid w:val="001035F1"/>
    <w:rsid w:val="0010776B"/>
    <w:rsid w:val="00133E66"/>
    <w:rsid w:val="001435A3"/>
    <w:rsid w:val="00146ED3"/>
    <w:rsid w:val="00151044"/>
    <w:rsid w:val="001A16D4"/>
    <w:rsid w:val="001D08F2"/>
    <w:rsid w:val="001D3A58"/>
    <w:rsid w:val="001D525B"/>
    <w:rsid w:val="001D7F4F"/>
    <w:rsid w:val="00205238"/>
    <w:rsid w:val="002321B6"/>
    <w:rsid w:val="00250967"/>
    <w:rsid w:val="002543C8"/>
    <w:rsid w:val="0025541D"/>
    <w:rsid w:val="00284AAE"/>
    <w:rsid w:val="002B43CE"/>
    <w:rsid w:val="002E5912"/>
    <w:rsid w:val="00301B21"/>
    <w:rsid w:val="00325348"/>
    <w:rsid w:val="0032732C"/>
    <w:rsid w:val="003333A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740"/>
    <w:rsid w:val="00577C6C"/>
    <w:rsid w:val="005A62FE"/>
    <w:rsid w:val="005C2FE2"/>
    <w:rsid w:val="005E2BC9"/>
    <w:rsid w:val="00605102"/>
    <w:rsid w:val="00613E23"/>
    <w:rsid w:val="006215AA"/>
    <w:rsid w:val="006356FE"/>
    <w:rsid w:val="006913C9"/>
    <w:rsid w:val="0069470D"/>
    <w:rsid w:val="006D58AA"/>
    <w:rsid w:val="00734F00"/>
    <w:rsid w:val="00744F56"/>
    <w:rsid w:val="007A70AE"/>
    <w:rsid w:val="007E78FB"/>
    <w:rsid w:val="008362E8"/>
    <w:rsid w:val="00845273"/>
    <w:rsid w:val="0085786E"/>
    <w:rsid w:val="008A1768"/>
    <w:rsid w:val="008A489F"/>
    <w:rsid w:val="008F0F33"/>
    <w:rsid w:val="008F4429"/>
    <w:rsid w:val="008F4817"/>
    <w:rsid w:val="00920E29"/>
    <w:rsid w:val="0094021A"/>
    <w:rsid w:val="009B44AF"/>
    <w:rsid w:val="009C6A0B"/>
    <w:rsid w:val="009F0C77"/>
    <w:rsid w:val="009F4DD1"/>
    <w:rsid w:val="00A02543"/>
    <w:rsid w:val="00A41684"/>
    <w:rsid w:val="00A64E80"/>
    <w:rsid w:val="00A72BCD"/>
    <w:rsid w:val="00A741D9"/>
    <w:rsid w:val="00A833AB"/>
    <w:rsid w:val="00A95D44"/>
    <w:rsid w:val="00A9741D"/>
    <w:rsid w:val="00AC34A2"/>
    <w:rsid w:val="00AD1C9A"/>
    <w:rsid w:val="00AD4B17"/>
    <w:rsid w:val="00B23DBA"/>
    <w:rsid w:val="00B412D4"/>
    <w:rsid w:val="00B564A3"/>
    <w:rsid w:val="00BE3C22"/>
    <w:rsid w:val="00C0345E"/>
    <w:rsid w:val="00C31C95"/>
    <w:rsid w:val="00C3483A"/>
    <w:rsid w:val="00C74E9D"/>
    <w:rsid w:val="00C826DD"/>
    <w:rsid w:val="00C82FD3"/>
    <w:rsid w:val="00C92819"/>
    <w:rsid w:val="00CC6143"/>
    <w:rsid w:val="00CC6B7B"/>
    <w:rsid w:val="00CD2089"/>
    <w:rsid w:val="00D73A67"/>
    <w:rsid w:val="00D970A9"/>
    <w:rsid w:val="00DF3845"/>
    <w:rsid w:val="00DF5109"/>
    <w:rsid w:val="00E41911"/>
    <w:rsid w:val="00E44B57"/>
    <w:rsid w:val="00E7142C"/>
    <w:rsid w:val="00E92EEF"/>
    <w:rsid w:val="00EE120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4C9EF-4434-408F-BAB6-2D2D3DA4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B43C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14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B43C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B43C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AA3E4-CEA6-4971-8EDD-063FC7D54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690402C</Template>
  <TotalTime>0</TotalTime>
  <Pages>4</Pages>
  <Words>927</Words>
  <Characters>4803</Characters>
  <Application>Microsoft Office Word</Application>
  <DocSecurity>0</DocSecurity>
  <Lines>135</Lines>
  <Paragraphs>35</Paragraphs>
  <ScaleCrop>false</ScaleCrop>
  <HeadingPairs>
    <vt:vector size="2" baseType="variant">
      <vt:variant>
        <vt:lpstr>Title</vt:lpstr>
      </vt:variant>
      <vt:variant>
        <vt:i4>1</vt:i4>
      </vt:variant>
    </vt:vector>
  </HeadingPairs>
  <TitlesOfParts>
    <vt:vector size="1" baseType="lpstr">
      <vt:lpstr>2019-2020 Bill 3210: Subject not yet available - South Carolina Legislature Online</vt:lpstr>
    </vt:vector>
  </TitlesOfParts>
  <Company>LPITS</Company>
  <LinksUpToDate>false</LinksUpToDate>
  <CharactersWithSpaces>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3210 Text of Previous Version (Mar. 27, 2019) - South Carolina Legislature Online</dc:title>
  <dc:creator>Niki Downey</dc:creator>
  <cp:lastModifiedBy>Lavarres Lynch</cp:lastModifiedBy>
  <cp:revision>2</cp:revision>
  <cp:lastPrinted>2019-03-28T01:52:00Z</cp:lastPrinted>
  <dcterms:created xsi:type="dcterms:W3CDTF">2019-03-28T02:29:00Z</dcterms:created>
  <dcterms:modified xsi:type="dcterms:W3CDTF">2019-03-28T02:29:00Z</dcterms:modified>
</cp:coreProperties>
</file>