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701" w:rsidRPr="00522CE0" w:rsidRDefault="00CB6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53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“OCCUPATIONAL LICENSURE REFORM ACT”; TO AMEND </w:t>
      </w:r>
      <w:r w:rsidR="004A030C">
        <w:rPr>
          <w:rFonts w:eastAsia="Times New Roman"/>
        </w:rPr>
        <w:t xml:space="preserve">ARTICLE 1, CHAPTER 3, TITLE 41 OF THE 1976 CODE, RELATING TO THE DEPARTMENT AND DIRECTOR OF LABOR, LICENSING, AND REGULATION, </w:t>
      </w:r>
      <w:r>
        <w:rPr>
          <w:rFonts w:eastAsia="Times New Roman"/>
        </w:rPr>
        <w:t>BY</w:t>
      </w:r>
      <w:r w:rsidR="004A030C">
        <w:rPr>
          <w:rFonts w:eastAsia="Times New Roman"/>
        </w:rPr>
        <w:t xml:space="preserve"> ADD</w:t>
      </w:r>
      <w:r>
        <w:rPr>
          <w:rFonts w:eastAsia="Times New Roman"/>
        </w:rPr>
        <w:t>ING</w:t>
      </w:r>
      <w:r w:rsidR="004A030C">
        <w:rPr>
          <w:rFonts w:eastAsia="Times New Roman"/>
        </w:rPr>
        <w:t xml:space="preserve"> SECTION 41-3-45</w:t>
      </w:r>
      <w:r>
        <w:rPr>
          <w:rFonts w:eastAsia="Times New Roman"/>
        </w:rPr>
        <w:t>,</w:t>
      </w:r>
      <w:r w:rsidR="004A030C">
        <w:rPr>
          <w:rFonts w:eastAsia="Times New Roman"/>
        </w:rPr>
        <w:t xml:space="preserve"> TO PROVIDE THAT </w:t>
      </w:r>
      <w:r>
        <w:rPr>
          <w:rFonts w:eastAsia="Times New Roman"/>
        </w:rPr>
        <w:t>CERTAIN</w:t>
      </w:r>
      <w:r w:rsidR="004A030C">
        <w:rPr>
          <w:rFonts w:eastAsia="Times New Roman"/>
        </w:rPr>
        <w:t xml:space="preserve"> REGULATIONS MUST UNDERGO LEGISLATIVE REVIEW TO IDENTIFY WHETHER PRESENT, SIGNIFICANT, OR SUBSTANTIATED HARMS WOULD EXIST IN THE ABSENCE OF THE REGULATION THAT WOULD </w:t>
      </w:r>
      <w:r>
        <w:rPr>
          <w:rFonts w:eastAsia="Times New Roman"/>
        </w:rPr>
        <w:t>WARRANT GOVERNMENT INTERVENTION</w:t>
      </w:r>
      <w:r w:rsidR="004A030C">
        <w:rPr>
          <w:rFonts w:eastAsia="Times New Roman"/>
        </w:rPr>
        <w:t xml:space="preserve"> AND, IF SO, </w:t>
      </w:r>
      <w:r>
        <w:rPr>
          <w:rFonts w:eastAsia="Times New Roman"/>
        </w:rPr>
        <w:t>TO PROVIDE THAT THE SENATE COMMITTEE ON LEGISLATIVE OVERSIGHT AND THE HOUSE OF REPRESENTATIVES COMMITTEE ON LEGISLATIVE OVERSIGHT SHALL</w:t>
      </w:r>
      <w:r w:rsidR="004A030C">
        <w:rPr>
          <w:rFonts w:eastAsia="Times New Roman"/>
        </w:rPr>
        <w:t xml:space="preserve"> CONSIDER ALTERNATIVE PROVISIONS THAT WOULD BE THE LEAST RESTRICTIVE AND IMPOSE THE LOWEST BURDENS AND COSTS WHILE PROTECTING CONSUMERS FROM HARM.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D1" w:rsidRPr="008E0BD1" w:rsidRDefault="0064537A" w:rsidP="008E0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3254">
        <w:rPr>
          <w:rFonts w:eastAsia="Times New Roman"/>
        </w:rPr>
        <w:t>As identified in the Brookings Institution’s discussion paper entitled, “Reforming Occupational Licensing Policies,” t</w:t>
      </w:r>
      <w:r w:rsidR="00700047">
        <w:rPr>
          <w:rFonts w:eastAsia="Times New Roman"/>
        </w:rPr>
        <w:t xml:space="preserve">he </w:t>
      </w:r>
      <w:r w:rsidR="008E0BD1" w:rsidRPr="00F57E45">
        <w:rPr>
          <w:color w:val="000000" w:themeColor="text1"/>
          <w:szCs w:val="18"/>
          <w:u w:color="000000" w:themeColor="text1"/>
          <w:shd w:val="clear" w:color="auto" w:fill="FFFFFF"/>
        </w:rPr>
        <w:t xml:space="preserve">General Assembly finds that </w:t>
      </w:r>
      <w:r w:rsidR="008E0BD1">
        <w:rPr>
          <w:color w:val="000000" w:themeColor="text1"/>
          <w:szCs w:val="18"/>
          <w:u w:color="000000" w:themeColor="text1"/>
          <w:shd w:val="clear" w:color="auto" w:fill="FFFFFF"/>
        </w:rPr>
        <w:t xml:space="preserve">occupational licensing </w:t>
      </w:r>
      <w:r w:rsidR="001A0A6C">
        <w:rPr>
          <w:color w:val="000000" w:themeColor="text1"/>
          <w:szCs w:val="18"/>
          <w:u w:color="000000" w:themeColor="text1"/>
          <w:shd w:val="clear" w:color="auto" w:fill="FFFFFF"/>
        </w:rPr>
        <w:t>regulations</w:t>
      </w:r>
      <w:r w:rsidR="008E0BD1">
        <w:rPr>
          <w:color w:val="000000" w:themeColor="text1"/>
          <w:szCs w:val="18"/>
          <w:u w:color="000000" w:themeColor="text1"/>
          <w:shd w:val="clear" w:color="auto" w:fill="FFFFFF"/>
        </w:rPr>
        <w:t xml:space="preserve"> are intended to protect the health and safety of consumers and to ensure a sufficiently high level of product or service quality. It further finds that not all occupations pose equivalent threats to health and safety and that imposing occupational licensing requirements on those occupations can lead to reduced employment and increased prices</w:t>
      </w:r>
      <w:r w:rsidR="008E0BD1" w:rsidRPr="00F57E45">
        <w:rPr>
          <w:color w:val="000000" w:themeColor="text1"/>
          <w:szCs w:val="18"/>
          <w:u w:color="000000" w:themeColor="text1"/>
          <w:shd w:val="clear" w:color="auto" w:fill="FFFFFF"/>
        </w:rPr>
        <w:t xml:space="preserve">. </w:t>
      </w:r>
      <w:r w:rsidR="00700047">
        <w:rPr>
          <w:color w:val="000000" w:themeColor="text1"/>
          <w:szCs w:val="18"/>
          <w:u w:color="000000" w:themeColor="text1"/>
          <w:shd w:val="clear" w:color="auto" w:fill="FFFFFF"/>
        </w:rPr>
        <w:t xml:space="preserve">Further, the General Assembly </w:t>
      </w:r>
      <w:r w:rsidR="007B3254">
        <w:rPr>
          <w:color w:val="000000" w:themeColor="text1"/>
          <w:szCs w:val="18"/>
          <w:u w:color="000000" w:themeColor="text1"/>
          <w:shd w:val="clear" w:color="auto" w:fill="FFFFFF"/>
        </w:rPr>
        <w:t xml:space="preserve">recognizes the impact of the United States Supreme Court’s holding in </w:t>
      </w:r>
      <w:r w:rsidR="007B3254">
        <w:rPr>
          <w:i/>
          <w:color w:val="000000" w:themeColor="text1"/>
          <w:szCs w:val="18"/>
          <w:u w:color="000000" w:themeColor="text1"/>
          <w:shd w:val="clear" w:color="auto" w:fill="FFFFFF"/>
        </w:rPr>
        <w:t xml:space="preserve">North Carolina Board of Dental Examiners v. </w:t>
      </w:r>
      <w:r w:rsidR="007B3254">
        <w:rPr>
          <w:i/>
          <w:color w:val="000000" w:themeColor="text1"/>
          <w:szCs w:val="18"/>
          <w:u w:color="000000" w:themeColor="text1"/>
          <w:shd w:val="clear" w:color="auto" w:fill="FFFFFF"/>
        </w:rPr>
        <w:lastRenderedPageBreak/>
        <w:t>Federal Trade Commission,</w:t>
      </w:r>
      <w:r w:rsidR="007B3254">
        <w:rPr>
          <w:color w:val="000000" w:themeColor="text1"/>
          <w:szCs w:val="18"/>
          <w:u w:color="000000" w:themeColor="text1"/>
          <w:shd w:val="clear" w:color="auto" w:fill="FFFFFF"/>
        </w:rPr>
        <w:t xml:space="preserve"> in which the Court recognized that </w:t>
      </w:r>
      <w:r w:rsidR="007B3254">
        <w:rPr>
          <w:color w:val="000000" w:themeColor="text1"/>
          <w:u w:color="000000" w:themeColor="text1"/>
        </w:rPr>
        <w:t>“</w:t>
      </w:r>
      <w:r w:rsidR="007B3254" w:rsidRPr="00BF55AD">
        <w:rPr>
          <w:color w:val="000000" w:themeColor="text1"/>
          <w:u w:color="000000" w:themeColor="text1"/>
        </w:rPr>
        <w:t>the need for supervision turns not on the formal designation given by State</w:t>
      </w:r>
      <w:r w:rsidR="007B3254">
        <w:rPr>
          <w:color w:val="000000" w:themeColor="text1"/>
          <w:u w:color="000000" w:themeColor="text1"/>
        </w:rPr>
        <w:t>s</w:t>
      </w:r>
      <w:r w:rsidR="007B3254" w:rsidRPr="00BF55AD">
        <w:rPr>
          <w:color w:val="000000" w:themeColor="text1"/>
          <w:u w:color="000000" w:themeColor="text1"/>
        </w:rPr>
        <w:t xml:space="preserve"> to regulators but on the risk that active market participants will pursue private interests in restraining trade.</w:t>
      </w:r>
      <w:r w:rsidR="007B3254">
        <w:rPr>
          <w:color w:val="000000" w:themeColor="text1"/>
          <w:u w:color="000000" w:themeColor="text1"/>
        </w:rPr>
        <w:t xml:space="preserve">” </w:t>
      </w:r>
      <w:r w:rsidR="008E0BD1" w:rsidRPr="00F57E45">
        <w:rPr>
          <w:color w:val="000000" w:themeColor="text1"/>
          <w:szCs w:val="18"/>
          <w:u w:color="000000" w:themeColor="text1"/>
          <w:shd w:val="clear" w:color="auto" w:fill="FFFFFF"/>
        </w:rPr>
        <w:t xml:space="preserve">It is the purpose of this </w:t>
      </w:r>
      <w:r w:rsidR="001A0A6C">
        <w:rPr>
          <w:color w:val="000000" w:themeColor="text1"/>
          <w:szCs w:val="18"/>
          <w:u w:color="000000" w:themeColor="text1"/>
          <w:shd w:val="clear" w:color="auto" w:fill="FFFFFF"/>
        </w:rPr>
        <w:t xml:space="preserve">act to </w:t>
      </w:r>
      <w:r w:rsidR="007B3254">
        <w:rPr>
          <w:color w:val="000000" w:themeColor="text1"/>
          <w:szCs w:val="18"/>
          <w:u w:color="000000" w:themeColor="text1"/>
          <w:shd w:val="clear" w:color="auto" w:fill="FFFFFF"/>
        </w:rPr>
        <w:t xml:space="preserve">require the Department of Labor, Licensing, and Regulation to </w:t>
      </w:r>
      <w:r w:rsidR="001A0A6C">
        <w:rPr>
          <w:color w:val="000000" w:themeColor="text1"/>
          <w:szCs w:val="18"/>
          <w:u w:color="000000" w:themeColor="text1"/>
          <w:shd w:val="clear" w:color="auto" w:fill="FFFFFF"/>
        </w:rPr>
        <w:t xml:space="preserve">identify occupational licensing regulations </w:t>
      </w:r>
      <w:r w:rsidR="007B3254">
        <w:rPr>
          <w:color w:val="000000" w:themeColor="text1"/>
          <w:szCs w:val="18"/>
          <w:u w:color="000000" w:themeColor="text1"/>
          <w:shd w:val="clear" w:color="auto" w:fill="FFFFFF"/>
        </w:rPr>
        <w:t>that meet the present, sign</w:t>
      </w:r>
      <w:r w:rsidR="00994100">
        <w:rPr>
          <w:color w:val="000000" w:themeColor="text1"/>
          <w:szCs w:val="18"/>
          <w:u w:color="000000" w:themeColor="text1"/>
          <w:shd w:val="clear" w:color="auto" w:fill="FFFFFF"/>
        </w:rPr>
        <w:t>ificant, and substantiated harm-</w:t>
      </w:r>
      <w:r w:rsidR="007B3254">
        <w:rPr>
          <w:color w:val="000000" w:themeColor="text1"/>
          <w:szCs w:val="18"/>
          <w:u w:color="000000" w:themeColor="text1"/>
          <w:shd w:val="clear" w:color="auto" w:fill="FFFFFF"/>
        </w:rPr>
        <w:t>without</w:t>
      </w:r>
      <w:r w:rsidR="00994100">
        <w:rPr>
          <w:color w:val="000000" w:themeColor="text1"/>
          <w:szCs w:val="18"/>
          <w:u w:color="000000" w:themeColor="text1"/>
          <w:shd w:val="clear" w:color="auto" w:fill="FFFFFF"/>
        </w:rPr>
        <w:t>-</w:t>
      </w:r>
      <w:r w:rsidR="007B3254">
        <w:rPr>
          <w:color w:val="000000" w:themeColor="text1"/>
          <w:szCs w:val="18"/>
          <w:u w:color="000000" w:themeColor="text1"/>
          <w:shd w:val="clear" w:color="auto" w:fill="FFFFFF"/>
        </w:rPr>
        <w:t>government</w:t>
      </w:r>
      <w:r w:rsidR="00994100">
        <w:rPr>
          <w:color w:val="000000" w:themeColor="text1"/>
          <w:szCs w:val="18"/>
          <w:u w:color="000000" w:themeColor="text1"/>
          <w:shd w:val="clear" w:color="auto" w:fill="FFFFFF"/>
        </w:rPr>
        <w:t>-</w:t>
      </w:r>
      <w:r w:rsidR="007B3254">
        <w:rPr>
          <w:color w:val="000000" w:themeColor="text1"/>
          <w:szCs w:val="18"/>
          <w:u w:color="000000" w:themeColor="text1"/>
          <w:shd w:val="clear" w:color="auto" w:fill="FFFFFF"/>
        </w:rPr>
        <w:t>intervention test, as created in this act, and to eliminate regulations that fail to meet this test or, when appropriate, recommend changes that are the least restrictive</w:t>
      </w:r>
      <w:r w:rsidR="008E0BD1" w:rsidRPr="00F57E45">
        <w:rPr>
          <w:color w:val="000000" w:themeColor="text1"/>
          <w:szCs w:val="18"/>
          <w:u w:color="000000" w:themeColor="text1"/>
          <w:shd w:val="clear" w:color="auto" w:fill="FFFFFF"/>
        </w:rPr>
        <w:t>.</w:t>
      </w: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may be cited as the “Occupational Licensure Reform Act.”</w:t>
      </w:r>
    </w:p>
    <w:p w:rsidR="008E0BD1"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081B" w:rsidRDefault="008E0B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C2081B">
        <w:rPr>
          <w:rFonts w:eastAsia="Times New Roman"/>
        </w:rPr>
        <w:t>Article 1, Chapter 3, Title 41 of the 1976 Code is amended by adding:</w:t>
      </w:r>
    </w:p>
    <w:p w:rsidR="00587D75" w:rsidRDefault="00587D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ABB" w:rsidRDefault="00994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41-3-45.</w:t>
      </w:r>
      <w:r>
        <w:rPr>
          <w:rFonts w:eastAsia="Times New Roman"/>
        </w:rPr>
        <w:tab/>
        <w:t>(A)(1)</w:t>
      </w:r>
      <w:r>
        <w:rPr>
          <w:rFonts w:eastAsia="Times New Roman"/>
        </w:rPr>
        <w:tab/>
      </w:r>
      <w:r w:rsidR="00C2081B">
        <w:rPr>
          <w:rFonts w:eastAsia="Times New Roman"/>
        </w:rPr>
        <w:t xml:space="preserve">Notwithstanding the requirements of </w:t>
      </w:r>
      <w:r>
        <w:rPr>
          <w:rFonts w:eastAsia="Times New Roman"/>
        </w:rPr>
        <w:t>S</w:t>
      </w:r>
      <w:r w:rsidR="00C2081B">
        <w:rPr>
          <w:rFonts w:eastAsia="Times New Roman"/>
        </w:rPr>
        <w:t xml:space="preserve">ection 1-23-120(J), the department shall </w:t>
      </w:r>
      <w:r w:rsidR="00CA6FDB">
        <w:rPr>
          <w:rFonts w:eastAsia="Times New Roman"/>
        </w:rPr>
        <w:t xml:space="preserve">biennially </w:t>
      </w:r>
      <w:r w:rsidR="00C2081B">
        <w:rPr>
          <w:rFonts w:eastAsia="Times New Roman"/>
        </w:rPr>
        <w:t xml:space="preserve">conduct a formal review of all regulations </w:t>
      </w:r>
      <w:r>
        <w:rPr>
          <w:rFonts w:eastAsia="Times New Roman"/>
        </w:rPr>
        <w:t>that</w:t>
      </w:r>
      <w:r w:rsidR="00C2081B">
        <w:rPr>
          <w:rFonts w:eastAsia="Times New Roman"/>
        </w:rPr>
        <w:t xml:space="preserve"> it has promulgated or for which it has been transferred the responsibility of administering, except </w:t>
      </w:r>
      <w:r>
        <w:rPr>
          <w:rFonts w:eastAsia="Times New Roman"/>
        </w:rPr>
        <w:t>those regulations described in S</w:t>
      </w:r>
      <w:r w:rsidR="00C2081B">
        <w:rPr>
          <w:rFonts w:eastAsia="Times New Roman"/>
        </w:rPr>
        <w:t xml:space="preserve">ection 1-23-120(H), if applicable. </w:t>
      </w:r>
      <w:r w:rsidR="00816ABB">
        <w:rPr>
          <w:rFonts w:eastAsia="Times New Roman"/>
        </w:rPr>
        <w:t xml:space="preserve">The review must </w:t>
      </w:r>
      <w:r>
        <w:rPr>
          <w:rFonts w:eastAsia="Times New Roman"/>
        </w:rPr>
        <w:t>identify those regulations for which</w:t>
      </w:r>
      <w:r w:rsidR="00816ABB">
        <w:rPr>
          <w:rFonts w:eastAsia="Times New Roman"/>
        </w:rPr>
        <w:t>:</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6ABB">
        <w:rPr>
          <w:rFonts w:eastAsia="Times New Roman"/>
        </w:rPr>
        <w:tab/>
      </w:r>
      <w:r w:rsidRPr="00816ABB">
        <w:rPr>
          <w:rFonts w:eastAsia="Times New Roman"/>
        </w:rPr>
        <w:tab/>
      </w:r>
      <w:r w:rsidR="00994100">
        <w:rPr>
          <w:rFonts w:eastAsia="Times New Roman"/>
        </w:rPr>
        <w:tab/>
      </w:r>
      <w:r>
        <w:rPr>
          <w:rFonts w:eastAsia="Times New Roman"/>
        </w:rPr>
        <w:t>(</w:t>
      </w:r>
      <w:r w:rsidR="00994100">
        <w:rPr>
          <w:rFonts w:eastAsia="Times New Roman"/>
        </w:rPr>
        <w:t>a</w:t>
      </w:r>
      <w:r>
        <w:rPr>
          <w:rFonts w:eastAsia="Times New Roman"/>
        </w:rPr>
        <w:t>)</w:t>
      </w:r>
      <w:r>
        <w:rPr>
          <w:rFonts w:eastAsia="Times New Roman"/>
        </w:rPr>
        <w:tab/>
      </w:r>
      <w:r w:rsidRPr="00816ABB">
        <w:rPr>
          <w:rFonts w:eastAsia="Times New Roman"/>
        </w:rPr>
        <w:t xml:space="preserve">the </w:t>
      </w:r>
      <w:r w:rsidR="00994100">
        <w:rPr>
          <w:rFonts w:eastAsia="Times New Roman"/>
        </w:rPr>
        <w:t>department</w:t>
      </w:r>
      <w:r w:rsidRPr="00816ABB">
        <w:rPr>
          <w:rFonts w:eastAsia="Times New Roman"/>
        </w:rPr>
        <w:t xml:space="preserve"> intends to begin the process of repeal as provided by law;</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94100">
        <w:rPr>
          <w:rFonts w:eastAsia="Times New Roman"/>
        </w:rPr>
        <w:tab/>
      </w:r>
      <w:r>
        <w:rPr>
          <w:rFonts w:eastAsia="Times New Roman"/>
        </w:rPr>
        <w:tab/>
        <w:t>(</w:t>
      </w:r>
      <w:r w:rsidR="00994100">
        <w:rPr>
          <w:rFonts w:eastAsia="Times New Roman"/>
        </w:rPr>
        <w:t>b</w:t>
      </w:r>
      <w:r>
        <w:rPr>
          <w:rFonts w:eastAsia="Times New Roman"/>
        </w:rPr>
        <w:t>)</w:t>
      </w:r>
      <w:r>
        <w:rPr>
          <w:rFonts w:eastAsia="Times New Roman"/>
        </w:rPr>
        <w:tab/>
        <w:t xml:space="preserve">the </w:t>
      </w:r>
      <w:r w:rsidR="00994100">
        <w:rPr>
          <w:rFonts w:eastAsia="Times New Roman"/>
        </w:rPr>
        <w:t>department</w:t>
      </w:r>
      <w:r>
        <w:rPr>
          <w:rFonts w:eastAsia="Times New Roman"/>
        </w:rPr>
        <w:t xml:space="preserve"> intends to begin the process of am</w:t>
      </w:r>
      <w:r w:rsidR="00994100">
        <w:rPr>
          <w:rFonts w:eastAsia="Times New Roman"/>
        </w:rPr>
        <w:t>endment as provided by law; and</w:t>
      </w:r>
    </w:p>
    <w:p w:rsidR="00816ABB" w:rsidRDefault="00816ABB"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94100">
        <w:rPr>
          <w:rFonts w:eastAsia="Times New Roman"/>
        </w:rPr>
        <w:tab/>
        <w:t>(c</w:t>
      </w:r>
      <w:r>
        <w:rPr>
          <w:rFonts w:eastAsia="Times New Roman"/>
        </w:rPr>
        <w:t>)</w:t>
      </w:r>
      <w:r>
        <w:rPr>
          <w:rFonts w:eastAsia="Times New Roman"/>
        </w:rPr>
        <w:tab/>
      </w:r>
      <w:r w:rsidR="00994100">
        <w:rPr>
          <w:rFonts w:eastAsia="Times New Roman"/>
        </w:rPr>
        <w:t>n</w:t>
      </w:r>
      <w:r>
        <w:rPr>
          <w:rFonts w:eastAsia="Times New Roman"/>
        </w:rPr>
        <w:t>o</w:t>
      </w:r>
      <w:r w:rsidR="00994100">
        <w:rPr>
          <w:rFonts w:eastAsia="Times New Roman"/>
        </w:rPr>
        <w:t xml:space="preserve"> re</w:t>
      </w:r>
      <w:r>
        <w:rPr>
          <w:rFonts w:eastAsia="Times New Roman"/>
        </w:rPr>
        <w:t>peal or amen</w:t>
      </w:r>
      <w:r w:rsidR="00994100">
        <w:rPr>
          <w:rFonts w:eastAsia="Times New Roman"/>
        </w:rPr>
        <w:t>dment is required.</w:t>
      </w:r>
    </w:p>
    <w:p w:rsidR="00CA6FDB" w:rsidRDefault="00994100" w:rsidP="0081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CA6FDB">
        <w:rPr>
          <w:rFonts w:eastAsia="Times New Roman"/>
        </w:rPr>
        <w:t>This review must be submitted</w:t>
      </w:r>
      <w:r w:rsidR="000A6818">
        <w:rPr>
          <w:rFonts w:eastAsia="Times New Roman"/>
        </w:rPr>
        <w:t xml:space="preserve"> to</w:t>
      </w:r>
      <w:r w:rsidR="00CA6FDB">
        <w:rPr>
          <w:rFonts w:eastAsia="Times New Roman"/>
        </w:rPr>
        <w:t xml:space="preserve"> the Senate Committee on Legislative Oversight </w:t>
      </w:r>
      <w:r>
        <w:rPr>
          <w:rFonts w:eastAsia="Times New Roman"/>
        </w:rPr>
        <w:t>and the House of Representatives Committee on Legislative Oversight</w:t>
      </w:r>
      <w:r w:rsidR="00CA6FDB">
        <w:rPr>
          <w:rFonts w:eastAsia="Times New Roman"/>
        </w:rPr>
        <w:t>.</w:t>
      </w:r>
    </w:p>
    <w:p w:rsidR="00502822" w:rsidRDefault="0081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Senate Committee on</w:t>
      </w:r>
      <w:r w:rsidRPr="00816ABB">
        <w:t xml:space="preserve"> </w:t>
      </w:r>
      <w:r w:rsidR="00360515" w:rsidRPr="00816ABB">
        <w:t xml:space="preserve">Legislative </w:t>
      </w:r>
      <w:r>
        <w:t xml:space="preserve">Oversight </w:t>
      </w:r>
      <w:r w:rsidR="000A6818">
        <w:t xml:space="preserve">and the House of Representatives Committee on Legislative Oversight </w:t>
      </w:r>
      <w:r w:rsidR="00360515" w:rsidRPr="00816ABB">
        <w:t xml:space="preserve">shall review </w:t>
      </w:r>
      <w:r w:rsidR="00CA6FDB">
        <w:t>the department’s report</w:t>
      </w:r>
      <w:r w:rsidR="00360515" w:rsidRPr="00816ABB">
        <w:t xml:space="preserve"> to identify whether present, significant, or substantiated harms would exist in the absence of the regulation that would </w:t>
      </w:r>
      <w:r w:rsidR="00994100">
        <w:t>warrant government intervention</w:t>
      </w:r>
      <w:r w:rsidR="00360515" w:rsidRPr="00816ABB">
        <w:t xml:space="preserve"> and, if so, </w:t>
      </w:r>
      <w:r w:rsidR="00994100">
        <w:t>shall</w:t>
      </w:r>
      <w:r w:rsidR="00360515" w:rsidRPr="00816ABB">
        <w:t xml:space="preserve"> consider alternative provisions that would be the least restrictive and impose the lowest burdens and costs while</w:t>
      </w:r>
      <w:r w:rsidR="00CA6FDB">
        <w:t xml:space="preserve"> protecting consumers from harm</w:t>
      </w:r>
      <w:r w:rsidR="004C67E1">
        <w:rPr>
          <w:rFonts w:eastAsia="Times New Roman"/>
        </w:rPr>
        <w:t>.</w:t>
      </w:r>
      <w:r w:rsidR="00CA6FDB">
        <w:rPr>
          <w:rFonts w:eastAsia="Times New Roman"/>
        </w:rPr>
        <w:t>”</w:t>
      </w:r>
    </w:p>
    <w:p w:rsidR="0064537A"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7A" w:rsidRPr="00522CE0" w:rsidRDefault="006453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7D75">
        <w:rPr>
          <w:rFonts w:eastAsia="Times New Roman"/>
        </w:rPr>
        <w:t>4</w:t>
      </w:r>
      <w:r>
        <w:rPr>
          <w:rFonts w:eastAsia="Times New Roman"/>
        </w:rPr>
        <w:t>.</w:t>
      </w:r>
      <w:r>
        <w:rPr>
          <w:rFonts w:eastAsia="Times New Roman"/>
        </w:rPr>
        <w:tab/>
        <w:t>This act takes effect upon approval by the Governor.</w:t>
      </w:r>
    </w:p>
    <w:p w:rsidR="007B5120" w:rsidRDefault="003B73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6701" w:rsidRDefault="00CB6701" w:rsidP="00CB6701">
      <w:pPr>
        <w:suppressAutoHyphens/>
        <w:jc w:val="both"/>
        <w:rPr>
          <w:rFonts w:eastAsia="Times New Roman"/>
        </w:rPr>
      </w:pPr>
    </w:p>
    <w:sectPr w:rsidR="00CB6701" w:rsidSect="00CB67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ABB" w:rsidRDefault="00816ABB" w:rsidP="00522CE0">
      <w:r>
        <w:separator/>
      </w:r>
    </w:p>
  </w:endnote>
  <w:endnote w:type="continuationSeparator" w:id="0">
    <w:p w:rsidR="00816ABB" w:rsidRDefault="00816A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F5EF0E-360A-4E02-A762-77CE63B6ABFB}"/>
    <w:embedBold r:id="rId2" w:fontKey="{FC0E86E8-637D-441A-AE65-AFF6D9E8FAA8}"/>
    <w:embedItalic r:id="rId3" w:fontKey="{337B36F9-2DC6-44C1-B442-05A2DAC6A335}"/>
  </w:font>
  <w:font w:name="Calibri">
    <w:panose1 w:val="020F0502020204030204"/>
    <w:charset w:val="00"/>
    <w:family w:val="swiss"/>
    <w:pitch w:val="variable"/>
    <w:sig w:usb0="E00002FF" w:usb1="4000ACFF" w:usb2="00000001" w:usb3="00000000" w:csb0="0000019F" w:csb1="00000000"/>
    <w:embedRegular r:id="rId4" w:fontKey="{A21B4102-C5E9-42A1-9E84-A5E632BFD2A3}"/>
    <w:embedItalic r:id="rId5" w:fontKey="{465B35F2-B002-4223-B2DA-7DEED00814D3}"/>
  </w:font>
  <w:font w:name="Cambria">
    <w:panose1 w:val="02040503050406030204"/>
    <w:charset w:val="00"/>
    <w:family w:val="roman"/>
    <w:pitch w:val="variable"/>
    <w:sig w:usb0="E00002FF" w:usb1="400004FF" w:usb2="00000000" w:usb3="00000000" w:csb0="0000019F" w:csb1="00000000"/>
    <w:embedRegular r:id="rId6" w:fontKey="{38222411-9470-4B82-AA75-485A8C1150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120" w:rsidRPr="00CB6701" w:rsidRDefault="00CB6701" w:rsidP="00CB6701">
    <w:pPr>
      <w:pStyle w:val="Footer"/>
      <w:tabs>
        <w:tab w:val="clear" w:pos="4680"/>
        <w:tab w:val="clear" w:pos="9360"/>
        <w:tab w:val="center" w:pos="2995"/>
      </w:tabs>
      <w:spacing w:before="120"/>
    </w:pPr>
    <w:r>
      <w:t>[330]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ABB" w:rsidRDefault="00816ABB" w:rsidP="00522CE0">
      <w:r>
        <w:separator/>
      </w:r>
    </w:p>
  </w:footnote>
  <w:footnote w:type="continuationSeparator" w:id="0">
    <w:p w:rsidR="00816ABB" w:rsidRDefault="00816ABB"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02017A"/>
    <w:multiLevelType w:val="hybridMultilevel"/>
    <w:tmpl w:val="51EA0E4C"/>
    <w:lvl w:ilvl="0" w:tplc="BDD87BB6">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72796C98"/>
    <w:multiLevelType w:val="hybridMultilevel"/>
    <w:tmpl w:val="708AB806"/>
    <w:lvl w:ilvl="0" w:tplc="61DA5FFA">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EGU.SP.TD"/>
    <w:docVar w:name="CoverAttorneyInitials" w:val="SP"/>
    <w:docVar w:name="CoverAttorneyLastName" w:val="Parrish"/>
    <w:docVar w:name="CoverBillType" w:val="b"/>
    <w:docVar w:name="CoverSenator" w:val="TD"/>
    <w:docVar w:name="dvBillNumber" w:val="330"/>
    <w:docVar w:name="dvBillNumberPrefix" w:val="S. "/>
    <w:docVar w:name="dvOriginalBody" w:val="Senate"/>
    <w:docVar w:name="fulldraftpath" w:val="L:\S-RES\TD\008REGU.SP.TD.DOCX"/>
    <w:docVar w:name="NameofBody" w:val="S"/>
    <w:docVar w:name="vgroup2" w:val="S-RES"/>
  </w:docVars>
  <w:rsids>
    <w:rsidRoot w:val="0064537A"/>
    <w:rsid w:val="00042AC1"/>
    <w:rsid w:val="00046516"/>
    <w:rsid w:val="00046AE6"/>
    <w:rsid w:val="00072458"/>
    <w:rsid w:val="0007601D"/>
    <w:rsid w:val="000A6818"/>
    <w:rsid w:val="000B0720"/>
    <w:rsid w:val="000B5EAF"/>
    <w:rsid w:val="001315B2"/>
    <w:rsid w:val="00170561"/>
    <w:rsid w:val="00186AC9"/>
    <w:rsid w:val="00197DF1"/>
    <w:rsid w:val="001A0A6C"/>
    <w:rsid w:val="001B3DD9"/>
    <w:rsid w:val="001B7E5D"/>
    <w:rsid w:val="001D3BAC"/>
    <w:rsid w:val="00216025"/>
    <w:rsid w:val="00245C4E"/>
    <w:rsid w:val="002C1321"/>
    <w:rsid w:val="002C2031"/>
    <w:rsid w:val="002C5896"/>
    <w:rsid w:val="002D3BED"/>
    <w:rsid w:val="00307C2B"/>
    <w:rsid w:val="00315D04"/>
    <w:rsid w:val="00360515"/>
    <w:rsid w:val="00383247"/>
    <w:rsid w:val="00397EF7"/>
    <w:rsid w:val="003B73A7"/>
    <w:rsid w:val="003D6E2B"/>
    <w:rsid w:val="003E7597"/>
    <w:rsid w:val="00413EBF"/>
    <w:rsid w:val="0044020F"/>
    <w:rsid w:val="00450668"/>
    <w:rsid w:val="00454138"/>
    <w:rsid w:val="004813A2"/>
    <w:rsid w:val="004952FA"/>
    <w:rsid w:val="004A030C"/>
    <w:rsid w:val="004B6A22"/>
    <w:rsid w:val="004C67E1"/>
    <w:rsid w:val="004D7F37"/>
    <w:rsid w:val="00502822"/>
    <w:rsid w:val="00522CE0"/>
    <w:rsid w:val="00541951"/>
    <w:rsid w:val="00565148"/>
    <w:rsid w:val="00570403"/>
    <w:rsid w:val="00587D75"/>
    <w:rsid w:val="00593361"/>
    <w:rsid w:val="005A413B"/>
    <w:rsid w:val="005A5017"/>
    <w:rsid w:val="005A648C"/>
    <w:rsid w:val="005F07AC"/>
    <w:rsid w:val="005F1745"/>
    <w:rsid w:val="0064537A"/>
    <w:rsid w:val="006A1802"/>
    <w:rsid w:val="006C0CBB"/>
    <w:rsid w:val="006C74EA"/>
    <w:rsid w:val="00700047"/>
    <w:rsid w:val="00720D40"/>
    <w:rsid w:val="007318D4"/>
    <w:rsid w:val="00765784"/>
    <w:rsid w:val="007A4390"/>
    <w:rsid w:val="007B3254"/>
    <w:rsid w:val="007B5120"/>
    <w:rsid w:val="007E5CB7"/>
    <w:rsid w:val="00816ABB"/>
    <w:rsid w:val="008314D2"/>
    <w:rsid w:val="00870F6F"/>
    <w:rsid w:val="008B2F42"/>
    <w:rsid w:val="008C3697"/>
    <w:rsid w:val="008E0BD1"/>
    <w:rsid w:val="008E185F"/>
    <w:rsid w:val="008F023B"/>
    <w:rsid w:val="00904E16"/>
    <w:rsid w:val="009162B3"/>
    <w:rsid w:val="00927C62"/>
    <w:rsid w:val="00983951"/>
    <w:rsid w:val="00984124"/>
    <w:rsid w:val="00984640"/>
    <w:rsid w:val="00994100"/>
    <w:rsid w:val="00995C37"/>
    <w:rsid w:val="009C118A"/>
    <w:rsid w:val="00A02011"/>
    <w:rsid w:val="00A4011E"/>
    <w:rsid w:val="00A64652"/>
    <w:rsid w:val="00A86015"/>
    <w:rsid w:val="00A9594E"/>
    <w:rsid w:val="00AE59C8"/>
    <w:rsid w:val="00B10098"/>
    <w:rsid w:val="00B5790D"/>
    <w:rsid w:val="00B945C5"/>
    <w:rsid w:val="00BA20EA"/>
    <w:rsid w:val="00BB5AFC"/>
    <w:rsid w:val="00BC0A56"/>
    <w:rsid w:val="00BF125D"/>
    <w:rsid w:val="00C2081B"/>
    <w:rsid w:val="00C45366"/>
    <w:rsid w:val="00C57023"/>
    <w:rsid w:val="00C74052"/>
    <w:rsid w:val="00CA6FDB"/>
    <w:rsid w:val="00CB187A"/>
    <w:rsid w:val="00CB6701"/>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015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F3BB124-0869-4A44-B30A-8D31F02B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816A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533</Words>
  <Characters>3043</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 Text of Previous Version (Jan. 8, 2019) - South Carolina Legislature Online</dc:title>
  <dc:subject/>
  <dc:creator>%USERNAME%</dc:creator>
  <cp:keywords/>
  <dc:description/>
  <cp:lastModifiedBy>S Volk</cp:lastModifiedBy>
  <cp:revision>2</cp:revision>
  <dcterms:created xsi:type="dcterms:W3CDTF">2019-01-08T22:49:00Z</dcterms:created>
  <dcterms:modified xsi:type="dcterms:W3CDTF">2019-01-08T22:49:00Z</dcterms:modified>
</cp:coreProperties>
</file>