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C" w:rsidRPr="00EB6C36" w:rsidRDefault="00AD01AE"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55DC" w:rsidRPr="00EB6C36">
        <w:rPr>
          <w:color w:val="000000" w:themeColor="text1"/>
          <w:u w:color="000000" w:themeColor="text1"/>
        </w:rPr>
        <w:t>Section 16</w:t>
      </w:r>
      <w:r w:rsidR="00442886">
        <w:rPr>
          <w:color w:val="000000" w:themeColor="text1"/>
          <w:u w:color="000000" w:themeColor="text1"/>
        </w:rPr>
        <w:noBreakHyphen/>
      </w:r>
      <w:r w:rsidR="008555DC" w:rsidRPr="00EB6C36">
        <w:rPr>
          <w:color w:val="000000" w:themeColor="text1"/>
          <w:u w:color="000000" w:themeColor="text1"/>
        </w:rPr>
        <w:t>17</w:t>
      </w:r>
      <w:r w:rsidR="00442886">
        <w:rPr>
          <w:color w:val="000000" w:themeColor="text1"/>
          <w:u w:color="000000" w:themeColor="text1"/>
        </w:rPr>
        <w:noBreakHyphen/>
      </w:r>
      <w:r w:rsidR="008555DC" w:rsidRPr="00EB6C36">
        <w:rPr>
          <w:color w:val="000000" w:themeColor="text1"/>
          <w:u w:color="000000" w:themeColor="text1"/>
        </w:rPr>
        <w:t>500 (E)(1), (F</w:t>
      </w:r>
      <w:r w:rsidR="00CE5582">
        <w:rPr>
          <w:color w:val="000000" w:themeColor="text1"/>
          <w:u w:color="000000" w:themeColor="text1"/>
        </w:rPr>
        <w:t>)</w:t>
      </w:r>
      <w:r w:rsidR="00DC51A8">
        <w:rPr>
          <w:color w:val="000000" w:themeColor="text1"/>
          <w:u w:color="000000" w:themeColor="text1"/>
        </w:rPr>
        <w:t>(1)</w:t>
      </w:r>
      <w:r w:rsidR="008555DC" w:rsidRPr="00EB6C36">
        <w:rPr>
          <w:color w:val="000000" w:themeColor="text1"/>
          <w:u w:color="000000" w:themeColor="text1"/>
        </w:rPr>
        <w:t>, and (J) of the 1976 Code is amended to read:</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“(E)(1)</w:t>
      </w:r>
      <w:r w:rsidR="00DC51A8">
        <w:rPr>
          <w:color w:val="000000" w:themeColor="text1"/>
          <w:u w:color="000000" w:themeColor="text1"/>
        </w:rPr>
        <w:tab/>
      </w:r>
      <w:r w:rsidRPr="00EB6C36">
        <w:rPr>
          <w:color w:val="000000" w:themeColor="text1"/>
          <w:u w:color="000000" w:themeColor="text1"/>
        </w:rPr>
        <w:t xml:space="preserve">An individual who knowingly violates a provision of subsections (A), (B), (C), </w:t>
      </w:r>
      <w:r w:rsidRPr="00EB6C36">
        <w:rPr>
          <w:strike/>
          <w:color w:val="000000" w:themeColor="text1"/>
          <w:u w:color="000000" w:themeColor="text1"/>
        </w:rPr>
        <w:t>or</w:t>
      </w:r>
      <w:r w:rsidRPr="00EB6C36">
        <w:rPr>
          <w:color w:val="000000" w:themeColor="text1"/>
          <w:u w:color="000000" w:themeColor="text1"/>
        </w:rPr>
        <w:t xml:space="preserve"> (D)</w:t>
      </w:r>
      <w:r w:rsidRPr="00EB6C36">
        <w:rPr>
          <w:color w:val="000000" w:themeColor="text1"/>
          <w:u w:val="single" w:color="000000" w:themeColor="text1"/>
        </w:rPr>
        <w:t>, or (J)</w:t>
      </w:r>
      <w:r w:rsidRPr="00EB6C36">
        <w:rPr>
          <w:color w:val="000000" w:themeColor="text1"/>
          <w:u w:color="000000" w:themeColor="text1"/>
        </w:rPr>
        <w:t xml:space="preserve"> in person, by agent, or in any other way is guilty of a misdemeanor and, upon conviction, must be:</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C36">
        <w:rPr>
          <w:color w:val="000000" w:themeColor="text1"/>
          <w:u w:color="000000" w:themeColor="text1"/>
        </w:rPr>
        <w:tab/>
        <w:t>(F)(1)</w:t>
      </w:r>
      <w:r w:rsidR="00DC51A8">
        <w:rPr>
          <w:color w:val="000000" w:themeColor="text1"/>
          <w:u w:val="single" w:color="000000" w:themeColor="text1"/>
        </w:rPr>
        <w:t>(a)</w:t>
      </w:r>
      <w:r w:rsidR="00DC51A8">
        <w:rPr>
          <w:color w:val="000000" w:themeColor="text1"/>
          <w:u w:color="000000" w:themeColor="text1"/>
        </w:rPr>
        <w:tab/>
      </w:r>
      <w:r w:rsidRPr="00EB6C36">
        <w:rPr>
          <w:color w:val="000000" w:themeColor="text1"/>
          <w:u w:color="000000" w:themeColor="text1"/>
        </w:rPr>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DC51A8" w:rsidRPr="00DC51A8"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635D">
        <w:rPr>
          <w:color w:val="000000" w:themeColor="text1"/>
          <w:u w:color="000000" w:themeColor="text1"/>
        </w:rPr>
        <w:tab/>
      </w:r>
      <w:r>
        <w:rPr>
          <w:color w:val="000000" w:themeColor="text1"/>
          <w:u w:color="000000" w:themeColor="text1"/>
        </w:rPr>
        <w:tab/>
      </w:r>
      <w:r w:rsidRPr="00DC51A8">
        <w:rPr>
          <w:color w:val="000000" w:themeColor="text1"/>
          <w:u w:val="single" w:color="000000" w:themeColor="text1"/>
        </w:rPr>
        <w:t>(b)</w:t>
      </w:r>
      <w:r>
        <w:rPr>
          <w:color w:val="000000" w:themeColor="text1"/>
          <w:u w:color="000000" w:themeColor="text1"/>
        </w:rPr>
        <w:tab/>
      </w:r>
      <w:r w:rsidRPr="00EB6C36">
        <w:rPr>
          <w:color w:val="000000" w:themeColor="text1"/>
          <w:u w:val="single" w:color="000000" w:themeColor="text1"/>
        </w:rPr>
        <w:t>A minor under the age of eighteen years is prohibited from entering a retail establishment that has as its primary purpose the sale of tobacco products, alternative nicotine products, or both</w:t>
      </w:r>
      <w:r>
        <w:rPr>
          <w:color w:val="000000" w:themeColor="text1"/>
          <w:u w:val="single" w:color="000000" w:themeColor="text1"/>
        </w:rPr>
        <w:t>.</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555DC" w:rsidRPr="00EB6C36">
        <w:rPr>
          <w:color w:val="000000" w:themeColor="text1"/>
          <w:u w:color="000000" w:themeColor="text1"/>
        </w:rPr>
        <w:t>(J)</w:t>
      </w:r>
      <w:r w:rsidR="008555DC" w:rsidRPr="00EB6C36">
        <w:rPr>
          <w:color w:val="000000" w:themeColor="text1"/>
          <w:u w:val="single" w:color="000000" w:themeColor="text1"/>
        </w:rPr>
        <w:t>(1)</w:t>
      </w:r>
      <w:r w:rsidR="008555DC" w:rsidRPr="00EB6C36">
        <w:rPr>
          <w:color w:val="000000" w:themeColor="text1"/>
          <w:u w:color="000000" w:themeColor="text1"/>
        </w:rPr>
        <w:tab/>
      </w:r>
      <w:r w:rsidR="008555DC" w:rsidRPr="00EB6C36">
        <w:rPr>
          <w:color w:val="000000" w:themeColor="text1"/>
          <w:u w:val="single" w:color="000000" w:themeColor="text1"/>
        </w:rPr>
        <w:t xml:space="preserve">A retail establishment that has as its primary purpose the sale of tobacco products, alternative nicotine products, or both, must prohibit minors under the age of eighteen years of age from entering </w:t>
      </w:r>
      <w:r w:rsidR="008555DC" w:rsidRPr="00EB6C36">
        <w:rPr>
          <w:color w:val="000000" w:themeColor="text1"/>
          <w:u w:val="single" w:color="000000" w:themeColor="text1"/>
        </w:rPr>
        <w:lastRenderedPageBreak/>
        <w:t xml:space="preserve">the retail establishment and shall determine whether a person is at least eighteen years by requiring proper proof of age in accordance with subsection (B). </w:t>
      </w:r>
    </w:p>
    <w:p w:rsidR="008555DC" w:rsidRPr="00EB6C36" w:rsidRDefault="008555DC"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6C36">
        <w:rPr>
          <w:color w:val="000000" w:themeColor="text1"/>
          <w:u w:color="000000" w:themeColor="text1"/>
        </w:rPr>
        <w:tab/>
      </w:r>
      <w:r w:rsidRPr="00EB6C36">
        <w:rPr>
          <w:color w:val="000000" w:themeColor="text1"/>
          <w:u w:color="000000" w:themeColor="text1"/>
        </w:rPr>
        <w:tab/>
      </w:r>
      <w:r w:rsidRPr="00EB6C36">
        <w:rPr>
          <w:color w:val="000000" w:themeColor="text1"/>
          <w:u w:val="single" w:color="000000" w:themeColor="text1"/>
        </w:rPr>
        <w:t>(2)</w:t>
      </w:r>
      <w:r w:rsidRPr="00EB6C36">
        <w:rPr>
          <w:color w:val="000000" w:themeColor="text1"/>
          <w:u w:color="000000" w:themeColor="text1"/>
        </w:rPr>
        <w:tab/>
      </w:r>
      <w:r w:rsidRPr="00EB6C36">
        <w:rPr>
          <w:color w:val="000000" w:themeColor="text1"/>
          <w:u w:val="single" w:color="000000" w:themeColor="text1"/>
        </w:rPr>
        <w:t>A retail establishment described in item (1) must conspicuously post on all entrances to the establishment the following:</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(a)</w:t>
      </w:r>
      <w:r w:rsidRPr="00DC51A8">
        <w:rPr>
          <w:color w:val="000000" w:themeColor="text1"/>
          <w:u w:color="000000" w:themeColor="text1"/>
        </w:rPr>
        <w:tab/>
      </w:r>
      <w:r w:rsidR="008555DC" w:rsidRPr="00EB6C36">
        <w:rPr>
          <w:color w:val="000000" w:themeColor="text1"/>
          <w:u w:val="single" w:color="000000" w:themeColor="text1"/>
        </w:rPr>
        <w:t>a sig</w:t>
      </w:r>
      <w:r w:rsidR="00C07BD3">
        <w:rPr>
          <w:color w:val="000000" w:themeColor="text1"/>
          <w:u w:val="single" w:color="000000" w:themeColor="text1"/>
        </w:rPr>
        <w:t xml:space="preserve">n in boldface type that states </w:t>
      </w:r>
      <w:r w:rsidR="00442886" w:rsidRPr="00442886">
        <w:rPr>
          <w:color w:val="000000" w:themeColor="text1"/>
          <w:u w:val="single" w:color="000000" w:themeColor="text1"/>
        </w:rPr>
        <w:t>‘</w:t>
      </w:r>
      <w:r w:rsidR="008555DC" w:rsidRPr="00EB6C36">
        <w:rPr>
          <w:color w:val="000000" w:themeColor="text1"/>
          <w:u w:val="single" w:color="000000" w:themeColor="text1"/>
        </w:rPr>
        <w:t>NOTICE: It is unlawful for a person under eighteen ye</w:t>
      </w:r>
      <w:r w:rsidR="00C07BD3">
        <w:rPr>
          <w:color w:val="000000" w:themeColor="text1"/>
          <w:u w:val="single" w:color="000000" w:themeColor="text1"/>
        </w:rPr>
        <w:t>ars of age to enter this store.</w:t>
      </w:r>
      <w:r w:rsidR="00442886" w:rsidRPr="00442886">
        <w:rPr>
          <w:color w:val="000000" w:themeColor="text1"/>
          <w:u w:val="single" w:color="000000" w:themeColor="text1"/>
        </w:rPr>
        <w:t>’</w:t>
      </w:r>
    </w:p>
    <w:p w:rsidR="008555DC" w:rsidRPr="00EB6C36"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51A8">
        <w:rPr>
          <w:color w:val="000000" w:themeColor="text1"/>
          <w:u w:color="000000" w:themeColor="text1"/>
        </w:rPr>
        <w:tab/>
      </w:r>
      <w:r w:rsidRPr="00DC51A8">
        <w:rPr>
          <w:color w:val="000000" w:themeColor="text1"/>
          <w:u w:color="000000" w:themeColor="text1"/>
        </w:rPr>
        <w:tab/>
      </w:r>
      <w:r w:rsidRPr="00DC51A8">
        <w:rPr>
          <w:color w:val="000000" w:themeColor="text1"/>
          <w:u w:color="000000" w:themeColor="text1"/>
        </w:rPr>
        <w:tab/>
      </w:r>
      <w:r w:rsidR="008555DC" w:rsidRPr="00EB6C36">
        <w:rPr>
          <w:color w:val="000000" w:themeColor="text1"/>
          <w:u w:val="single" w:color="000000" w:themeColor="text1"/>
        </w:rPr>
        <w:t xml:space="preserve">(b) </w:t>
      </w:r>
      <w:r w:rsidRPr="00DC51A8">
        <w:rPr>
          <w:color w:val="000000" w:themeColor="text1"/>
          <w:u w:color="000000" w:themeColor="text1"/>
        </w:rPr>
        <w:tab/>
      </w:r>
      <w:r w:rsidR="008555DC" w:rsidRPr="00EB6C36">
        <w:rPr>
          <w:color w:val="000000" w:themeColor="text1"/>
          <w:u w:val="single" w:color="000000" w:themeColor="text1"/>
        </w:rPr>
        <w:t>a sign printed in letters and numbers at least one</w:t>
      </w:r>
      <w:r w:rsidR="00442886">
        <w:rPr>
          <w:color w:val="000000" w:themeColor="text1"/>
          <w:u w:val="single" w:color="000000" w:themeColor="text1"/>
        </w:rPr>
        <w:noBreakHyphen/>
      </w:r>
      <w:r w:rsidR="008555DC" w:rsidRPr="00EB6C36">
        <w:rPr>
          <w:color w:val="000000" w:themeColor="text1"/>
          <w:u w:val="single" w:color="000000" w:themeColor="text1"/>
        </w:rPr>
        <w:t>half inch high that displays a toll free number for assistance to callers in quitting smoking, as determined by the Department of Health and Environmental Control.</w:t>
      </w:r>
    </w:p>
    <w:p w:rsidR="00AD01AE" w:rsidRDefault="00DC51A8"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C51A8">
        <w:rPr>
          <w:color w:val="000000" w:themeColor="text1"/>
          <w:u w:color="000000" w:themeColor="text1"/>
        </w:rPr>
        <w:tab/>
      </w:r>
      <w:r w:rsidR="008555DC" w:rsidRPr="00EB6C36">
        <w:rPr>
          <w:color w:val="000000" w:themeColor="text1"/>
          <w:u w:val="single" w:color="000000" w:themeColor="text1"/>
        </w:rPr>
        <w:t>(K)</w:t>
      </w:r>
      <w:r w:rsidR="008555DC" w:rsidRPr="00EB6C36">
        <w:rPr>
          <w:color w:val="000000" w:themeColor="text1"/>
          <w:u w:color="000000" w:themeColor="text1"/>
        </w:rPr>
        <w:tab/>
        <w:t>Notwithstanding any other provision of law, a violation of this section does not violate the terms and conditions of an establishment</w:t>
      </w:r>
      <w:r w:rsidR="00442886" w:rsidRPr="00442886">
        <w:rPr>
          <w:color w:val="000000" w:themeColor="text1"/>
          <w:u w:color="000000" w:themeColor="text1"/>
        </w:rPr>
        <w:t>’</w:t>
      </w:r>
      <w:r w:rsidR="008555DC" w:rsidRPr="00EB6C36">
        <w:rPr>
          <w:color w:val="000000" w:themeColor="text1"/>
          <w:u w:color="000000" w:themeColor="text1"/>
        </w:rPr>
        <w:t>s beer and wine permit and is not grounds for revocation or suspension of a beer and wine permit.”</w:t>
      </w:r>
    </w:p>
    <w:p w:rsidR="004D6A3B" w:rsidRDefault="004D6A3B" w:rsidP="0085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07013C">
        <w:rPr>
          <w:color w:val="000000" w:themeColor="text1"/>
          <w:u w:color="000000" w:themeColor="text1"/>
        </w:rPr>
        <w:t>The undesignated clause in 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013C">
        <w:rPr>
          <w:color w:val="000000" w:themeColor="text1"/>
          <w:u w:color="000000" w:themeColor="text1"/>
        </w:rPr>
        <w:t xml:space="preserve">“As used in this section and Sections </w:t>
      </w:r>
      <w:r w:rsidRPr="0007013C">
        <w:rPr>
          <w:color w:val="000000" w:themeColor="text1"/>
          <w:u w:val="single" w:color="000000" w:themeColor="text1"/>
        </w:rPr>
        <w:t>16</w:t>
      </w:r>
      <w:r w:rsidR="00442886">
        <w:rPr>
          <w:color w:val="000000" w:themeColor="text1"/>
          <w:u w:val="single" w:color="000000" w:themeColor="text1"/>
        </w:rPr>
        <w:noBreakHyphen/>
      </w:r>
      <w:r w:rsidRPr="0007013C">
        <w:rPr>
          <w:color w:val="000000" w:themeColor="text1"/>
          <w:u w:val="single" w:color="000000" w:themeColor="text1"/>
        </w:rPr>
        <w:t>17</w:t>
      </w:r>
      <w:r w:rsidR="00442886">
        <w:rPr>
          <w:color w:val="000000" w:themeColor="text1"/>
          <w:u w:val="single" w:color="000000" w:themeColor="text1"/>
        </w:rPr>
        <w:noBreakHyphen/>
      </w:r>
      <w:r w:rsidRPr="0007013C">
        <w:rPr>
          <w:color w:val="000000" w:themeColor="text1"/>
          <w:u w:val="single" w:color="000000" w:themeColor="text1"/>
        </w:rPr>
        <w:t>500,</w:t>
      </w:r>
      <w:r w:rsidRPr="0007013C">
        <w:rPr>
          <w:color w:val="000000" w:themeColor="text1"/>
          <w:u w:color="000000" w:themeColor="text1"/>
        </w:rPr>
        <w:t xml:space="preserve">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502, 16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503, and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504:”</w:t>
      </w: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282B"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013C">
        <w:rPr>
          <w:color w:val="000000" w:themeColor="text1"/>
          <w:u w:color="000000" w:themeColor="text1"/>
        </w:rPr>
        <w:t>Section 16</w:t>
      </w:r>
      <w:r w:rsidR="00442886">
        <w:rPr>
          <w:color w:val="000000" w:themeColor="text1"/>
          <w:u w:color="000000" w:themeColor="text1"/>
        </w:rPr>
        <w:noBreakHyphen/>
      </w:r>
      <w:r w:rsidRPr="0007013C">
        <w:rPr>
          <w:color w:val="000000" w:themeColor="text1"/>
          <w:u w:color="000000" w:themeColor="text1"/>
        </w:rPr>
        <w:t>17</w:t>
      </w:r>
      <w:r w:rsidR="00442886">
        <w:rPr>
          <w:color w:val="000000" w:themeColor="text1"/>
          <w:u w:color="000000" w:themeColor="text1"/>
        </w:rPr>
        <w:noBreakHyphen/>
      </w:r>
      <w:r w:rsidRPr="0007013C">
        <w:rPr>
          <w:color w:val="000000" w:themeColor="text1"/>
          <w:u w:color="000000" w:themeColor="text1"/>
        </w:rPr>
        <w:t>501(6) of the 1976 Code is amended to read:</w:t>
      </w: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82B" w:rsidRPr="0007013C" w:rsidRDefault="0059282B"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013C">
        <w:rPr>
          <w:color w:val="000000" w:themeColor="text1"/>
          <w:u w:color="000000" w:themeColor="text1"/>
        </w:rPr>
        <w:t>“</w:t>
      </w:r>
      <w:r>
        <w:rPr>
          <w:color w:val="000000" w:themeColor="text1"/>
          <w:u w:color="000000" w:themeColor="text1"/>
        </w:rPr>
        <w:t>(6)</w:t>
      </w:r>
      <w:r>
        <w:rPr>
          <w:color w:val="000000" w:themeColor="text1"/>
          <w:u w:color="000000" w:themeColor="text1"/>
        </w:rPr>
        <w:tab/>
      </w:r>
      <w:r w:rsidR="00442886" w:rsidRPr="00442886">
        <w:rPr>
          <w:color w:val="000000" w:themeColor="text1"/>
          <w:u w:color="000000" w:themeColor="text1"/>
        </w:rPr>
        <w:t>‘</w:t>
      </w:r>
      <w:r w:rsidRPr="0007013C">
        <w:rPr>
          <w:color w:val="000000" w:themeColor="text1"/>
          <w:u w:color="000000" w:themeColor="text1"/>
        </w:rPr>
        <w:t>Alternative nicotine product</w:t>
      </w:r>
      <w:r w:rsidR="00442886" w:rsidRPr="00442886">
        <w:rPr>
          <w:color w:val="000000" w:themeColor="text1"/>
          <w:u w:color="000000" w:themeColor="text1"/>
        </w:rPr>
        <w:t>’</w:t>
      </w:r>
      <w:r w:rsidRPr="0007013C">
        <w:rPr>
          <w:color w:val="000000" w:themeColor="text1"/>
          <w:u w:color="000000" w:themeColor="text1"/>
        </w:rPr>
        <w:t xml:space="preserve"> means a product, including electronic cigarettes, that consists of or contains nicotine </w:t>
      </w:r>
      <w:r w:rsidRPr="0007013C">
        <w:rPr>
          <w:color w:val="000000" w:themeColor="text1"/>
          <w:u w:val="single" w:color="000000" w:themeColor="text1"/>
        </w:rPr>
        <w:t>or other substances</w:t>
      </w:r>
      <w:r w:rsidRPr="0007013C">
        <w:rPr>
          <w:color w:val="000000" w:themeColor="text1"/>
          <w:u w:color="000000" w:themeColor="text1"/>
        </w:rPr>
        <w:t xml:space="preserve"> that can be ingested into the body by chewing, smoking, absorbing, dissolving, inhaling, or by any other means. “Alternative nicotine product” does not include:</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(a)</w:t>
      </w:r>
      <w:r w:rsidR="0059282B" w:rsidRPr="0007013C">
        <w:rPr>
          <w:color w:val="000000" w:themeColor="text1"/>
          <w:u w:color="000000" w:themeColor="text1"/>
        </w:rPr>
        <w:tab/>
        <w:t>a cigarette,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620, or other tobacco products, as defined in Section 12</w:t>
      </w:r>
      <w:r w:rsidR="00442886">
        <w:rPr>
          <w:color w:val="000000" w:themeColor="text1"/>
          <w:u w:color="000000" w:themeColor="text1"/>
        </w:rPr>
        <w:noBreakHyphen/>
      </w:r>
      <w:r w:rsidR="0059282B" w:rsidRPr="0007013C">
        <w:rPr>
          <w:color w:val="000000" w:themeColor="text1"/>
          <w:u w:color="000000" w:themeColor="text1"/>
        </w:rPr>
        <w:t>21</w:t>
      </w:r>
      <w:r w:rsidR="00442886">
        <w:rPr>
          <w:color w:val="000000" w:themeColor="text1"/>
          <w:u w:color="000000" w:themeColor="text1"/>
        </w:rPr>
        <w:noBreakHyphen/>
      </w:r>
      <w:r w:rsidR="0059282B" w:rsidRPr="0007013C">
        <w:rPr>
          <w:color w:val="000000" w:themeColor="text1"/>
          <w:u w:color="000000" w:themeColor="text1"/>
        </w:rPr>
        <w:t>800;</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9282B" w:rsidRPr="0007013C">
        <w:rPr>
          <w:color w:val="000000" w:themeColor="text1"/>
          <w:u w:color="000000" w:themeColor="text1"/>
        </w:rPr>
        <w:t>(b)</w:t>
      </w:r>
      <w:r w:rsidR="00163C79">
        <w:rPr>
          <w:color w:val="000000" w:themeColor="text1"/>
          <w:u w:color="000000" w:themeColor="text1"/>
        </w:rPr>
        <w:tab/>
      </w:r>
      <w:r w:rsidR="0059282B" w:rsidRPr="0007013C">
        <w:rPr>
          <w:color w:val="000000" w:themeColor="text1"/>
          <w:u w:color="000000" w:themeColor="text1"/>
        </w:rPr>
        <w:t>a product that is a drug pursuant to 21 U.S.C. 321(g)(1);</w:t>
      </w:r>
    </w:p>
    <w:p w:rsidR="0059282B" w:rsidRPr="0007013C"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(c)</w:t>
      </w:r>
      <w:r w:rsidR="00163C79">
        <w:rPr>
          <w:color w:val="000000" w:themeColor="text1"/>
          <w:u w:color="000000" w:themeColor="text1"/>
        </w:rPr>
        <w:tab/>
      </w:r>
      <w:r w:rsidR="0059282B" w:rsidRPr="0007013C">
        <w:rPr>
          <w:color w:val="000000" w:themeColor="text1"/>
          <w:u w:color="000000" w:themeColor="text1"/>
        </w:rPr>
        <w:t>a device pursuant to 21 U.S.C. 321(h); or</w:t>
      </w:r>
    </w:p>
    <w:p w:rsidR="004D6A3B" w:rsidRDefault="00AA4AA3" w:rsidP="0059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163C79">
        <w:rPr>
          <w:color w:val="000000" w:themeColor="text1"/>
          <w:u w:color="000000" w:themeColor="text1"/>
        </w:rPr>
        <w:t>(d)</w:t>
      </w:r>
      <w:r w:rsidR="00163C79">
        <w:rPr>
          <w:color w:val="000000" w:themeColor="text1"/>
          <w:u w:color="000000" w:themeColor="text1"/>
        </w:rPr>
        <w:tab/>
      </w:r>
      <w:r w:rsidR="0059282B" w:rsidRPr="0007013C">
        <w:rPr>
          <w:color w:val="000000" w:themeColor="text1"/>
          <w:u w:color="000000" w:themeColor="text1"/>
        </w:rPr>
        <w:t>a combination product described in 21 U.S.C. 353(g).”</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82B">
        <w:t>3</w:t>
      </w:r>
      <w:r>
        <w:t>.</w:t>
      </w:r>
      <w:r>
        <w:tab/>
        <w:t>This act takes effect upon approval by the Governor.</w:t>
      </w:r>
    </w:p>
    <w:p w:rsidR="00743A10" w:rsidRDefault="00442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C85" w:rsidRDefault="006D3C85" w:rsidP="006D3C85">
      <w:pPr>
        <w:suppressAutoHyphens/>
      </w:pPr>
    </w:p>
    <w:sectPr w:rsidR="006D3C85" w:rsidSect="006D3C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5122D2-098A-4F97-A873-FE8B2C0547C1}"/>
    <w:embedBold r:id="rId2" w:fontKey="{C04284A8-C6FD-4B4F-A8A6-9A7A91AEC1CF}"/>
  </w:font>
  <w:font w:name="Calibri">
    <w:panose1 w:val="020F0502020204030204"/>
    <w:charset w:val="00"/>
    <w:family w:val="swiss"/>
    <w:pitch w:val="variable"/>
    <w:sig w:usb0="E00002FF" w:usb1="4000ACFF" w:usb2="00000001" w:usb3="00000000" w:csb0="0000019F" w:csb1="00000000"/>
    <w:embedRegular r:id="rId3" w:fontKey="{12A58D99-662A-47E6-8CA4-F41FD5A012CB}"/>
  </w:font>
  <w:font w:name="Segoe UI">
    <w:panose1 w:val="020B0502040204020203"/>
    <w:charset w:val="00"/>
    <w:family w:val="swiss"/>
    <w:pitch w:val="variable"/>
    <w:sig w:usb0="E10022FF" w:usb1="C000E47F" w:usb2="00000029" w:usb3="00000000" w:csb0="000001DF" w:csb1="00000000"/>
    <w:embedRegular r:id="rId4" w:fontKey="{0FA6F88D-95DB-43F4-889C-FA2C5E401BFC}"/>
  </w:font>
  <w:font w:name="Cambria">
    <w:panose1 w:val="02040503050406030204"/>
    <w:charset w:val="00"/>
    <w:family w:val="roman"/>
    <w:pitch w:val="variable"/>
    <w:sig w:usb0="E00002FF" w:usb1="400004FF" w:usb2="00000000" w:usb3="00000000" w:csb0="0000019F" w:csb1="00000000"/>
    <w:embedRegular r:id="rId5" w:fontKey="{457A0275-C110-4AE2-9CDF-6E7CA2523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10" w:rsidRPr="006D3C85" w:rsidRDefault="006D3C85"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3C22"/>
    <w:rsid w:val="00BE729F"/>
    <w:rsid w:val="00C0345E"/>
    <w:rsid w:val="00C07BD3"/>
    <w:rsid w:val="00C31C95"/>
    <w:rsid w:val="00C3483A"/>
    <w:rsid w:val="00C74E9D"/>
    <w:rsid w:val="00C826DD"/>
    <w:rsid w:val="00C82FD3"/>
    <w:rsid w:val="00C92819"/>
    <w:rsid w:val="00CC6B7B"/>
    <w:rsid w:val="00CD2089"/>
    <w:rsid w:val="00CE5582"/>
    <w:rsid w:val="00D73A67"/>
    <w:rsid w:val="00D970A9"/>
    <w:rsid w:val="00DC51A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65D6F-A347-4F08-9038-70D7A217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530</Words>
  <Characters>2709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(Dec. 18, 2018) - South Carolina Legislature Online</dc:title>
  <dc:creator>Chris Charlton</dc:creator>
  <cp:lastModifiedBy>S Volk</cp:lastModifiedBy>
  <cp:revision>2</cp:revision>
  <cp:lastPrinted>2018-12-13T23:01:00Z</cp:lastPrinted>
  <dcterms:created xsi:type="dcterms:W3CDTF">2018-12-19T00:53:00Z</dcterms:created>
  <dcterms:modified xsi:type="dcterms:W3CDTF">2018-12-19T00:53:00Z</dcterms:modified>
</cp:coreProperties>
</file>