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4C3" w:rsidRDefault="00F074C3"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074C3" w:rsidRPr="00F074C3" w:rsidRDefault="00F074C3"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074C3" w:rsidRDefault="00F074C3"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4C3" w:rsidRDefault="001E077B"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E077B" w:rsidRDefault="001E077B"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9, 2019</w:t>
      </w:r>
    </w:p>
    <w:p w:rsidR="001E077B" w:rsidRDefault="001E077B"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77B" w:rsidRPr="001E077B" w:rsidRDefault="001E077B" w:rsidP="001E077B">
      <w:pPr>
        <w:tabs>
          <w:tab w:val="right" w:pos="5933"/>
        </w:tabs>
        <w:suppressAutoHyphens/>
      </w:pPr>
      <w:r>
        <w:tab/>
      </w:r>
      <w:r>
        <w:rPr>
          <w:b/>
          <w:sz w:val="36"/>
        </w:rPr>
        <w:t>H. 3485</w:t>
      </w:r>
    </w:p>
    <w:p w:rsidR="001E077B" w:rsidRDefault="001E077B"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77B" w:rsidRDefault="001E077B"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Jefferson, R. Williams, Cobb</w:t>
      </w:r>
      <w:r>
        <w:noBreakHyphen/>
        <w:t>Hunter and Weeks</w:t>
      </w:r>
    </w:p>
    <w:p w:rsidR="001E077B" w:rsidRDefault="001E077B"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77B" w:rsidRDefault="001E077B" w:rsidP="00FE1134">
      <w:pPr>
        <w:tabs>
          <w:tab w:val="right" w:pos="5933"/>
        </w:tabs>
        <w:suppressAutoHyphens/>
      </w:pPr>
      <w:r>
        <w:t>S. Printed 4/9/19--H.</w:t>
      </w:r>
      <w:r w:rsidR="00FE1134">
        <w:tab/>
        <w:t>[SEC 4/10/19 1:36 PM]</w:t>
      </w:r>
    </w:p>
    <w:p w:rsidR="001E077B" w:rsidRDefault="001E077B"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2019.</w:t>
      </w:r>
    </w:p>
    <w:p w:rsidR="001E077B" w:rsidRPr="001E077B" w:rsidRDefault="001E077B" w:rsidP="001E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E077B" w:rsidRPr="001E077B" w:rsidRDefault="001E077B" w:rsidP="001E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E077B" w:rsidRDefault="001E077B"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E077B" w:rsidSect="00F074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1E6A" w:rsidRDefault="00D81E6A"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8524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41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462ED">
        <w:rPr>
          <w:color w:val="000000" w:themeColor="text1"/>
          <w:u w:color="000000" w:themeColor="text1"/>
        </w:rPr>
        <w:t>TO AMEND SECTION 12</w:t>
      </w:r>
      <w:r w:rsidR="004B0968">
        <w:rPr>
          <w:color w:val="000000" w:themeColor="text1"/>
          <w:u w:color="000000" w:themeColor="text1"/>
        </w:rPr>
        <w:noBreakHyphen/>
      </w:r>
      <w:r w:rsidRPr="00B462ED">
        <w:rPr>
          <w:color w:val="000000" w:themeColor="text1"/>
          <w:u w:color="000000" w:themeColor="text1"/>
        </w:rPr>
        <w:t>6</w:t>
      </w:r>
      <w:r w:rsidR="004B0968">
        <w:rPr>
          <w:color w:val="000000" w:themeColor="text1"/>
          <w:u w:color="000000" w:themeColor="text1"/>
        </w:rPr>
        <w:noBreakHyphen/>
      </w:r>
      <w:r w:rsidRPr="00B462ED">
        <w:rPr>
          <w:color w:val="000000" w:themeColor="text1"/>
          <w:u w:color="000000" w:themeColor="text1"/>
        </w:rPr>
        <w:t>3535, CODE OF LAWS OF SOUTH CAROLINA, 1976, RELATING TO AN INCOME TAX CREDIT FOR MAKING QUALIFIED REHABILITATION EXPENDITURES FOR A CERTIFIED HISTORIC STRUCTURE, SO AS TO REMOVE A PROVISION ALLOWING THE DEPARTMENT OF ARCHIVES AND HISTORY TO ESTABLISH FEES, TO PROVIDE THAT A TAXPAYER CLAIMING THE CREDIT MUST PAY A FEE TO THE DEPARTMENT OF ARCHIVES AND HISTORY FOR THE STATE HISTORIC PRESERVATION GRANT FUND, AND TO PROVIDE THAT THE DEPARTMENT SHALL DEVELOP AN APPLICATION PROCESS; AND TO AMEND SECTION 12</w:t>
      </w:r>
      <w:r w:rsidR="004B0968">
        <w:rPr>
          <w:color w:val="000000" w:themeColor="text1"/>
          <w:u w:color="000000" w:themeColor="text1"/>
        </w:rPr>
        <w:noBreakHyphen/>
      </w:r>
      <w:r w:rsidRPr="00B462ED">
        <w:rPr>
          <w:color w:val="000000" w:themeColor="text1"/>
          <w:u w:color="000000" w:themeColor="text1"/>
        </w:rPr>
        <w:t>6</w:t>
      </w:r>
      <w:r w:rsidR="004B0968">
        <w:rPr>
          <w:color w:val="000000" w:themeColor="text1"/>
          <w:u w:color="000000" w:themeColor="text1"/>
        </w:rPr>
        <w:noBreakHyphen/>
      </w:r>
      <w:r w:rsidRPr="00B462ED">
        <w:rPr>
          <w:color w:val="000000" w:themeColor="text1"/>
          <w:u w:color="000000" w:themeColor="text1"/>
        </w:rPr>
        <w:t xml:space="preserve">5060, RELATING TO VOLUNTARY CONTRIBUTIONS MADE BY AN INDIVIDUAL BY MEANS OF THE INCOME TAX RETURN CHECK OFF, SO AS TO ADD THE DEPARTMENT OF ARCHIVES AND HISTORY. </w:t>
      </w:r>
      <w:bookmarkEnd w:id="1"/>
    </w:p>
    <w:p w:rsidR="0010776B" w:rsidRDefault="001E07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E077B" w:rsidRDefault="001E07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240" w:rsidRDefault="00D85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5240" w:rsidRDefault="00D85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1E1" w:rsidRPr="00B462ED" w:rsidRDefault="00D85240"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141E1" w:rsidRPr="00B462ED">
        <w:rPr>
          <w:color w:val="000000" w:themeColor="text1"/>
          <w:u w:color="000000" w:themeColor="text1"/>
        </w:rPr>
        <w:t>A.</w:t>
      </w:r>
      <w:r w:rsidR="008141E1">
        <w:rPr>
          <w:color w:val="000000" w:themeColor="text1"/>
          <w:u w:color="000000" w:themeColor="text1"/>
        </w:rPr>
        <w:tab/>
      </w:r>
      <w:r w:rsidR="008141E1" w:rsidRPr="00B462ED">
        <w:rPr>
          <w:color w:val="000000" w:themeColor="text1"/>
          <w:u w:color="000000" w:themeColor="text1"/>
        </w:rPr>
        <w:tab/>
        <w:t>Section 12</w:t>
      </w:r>
      <w:r w:rsidR="004B0968">
        <w:rPr>
          <w:color w:val="000000" w:themeColor="text1"/>
          <w:u w:color="000000" w:themeColor="text1"/>
        </w:rPr>
        <w:noBreakHyphen/>
      </w:r>
      <w:r w:rsidR="008141E1" w:rsidRPr="00B462ED">
        <w:rPr>
          <w:color w:val="000000" w:themeColor="text1"/>
          <w:u w:color="000000" w:themeColor="text1"/>
        </w:rPr>
        <w:t>6</w:t>
      </w:r>
      <w:r w:rsidR="004B0968">
        <w:rPr>
          <w:color w:val="000000" w:themeColor="text1"/>
          <w:u w:color="000000" w:themeColor="text1"/>
        </w:rPr>
        <w:noBreakHyphen/>
      </w:r>
      <w:r w:rsidR="008141E1" w:rsidRPr="00B462ED">
        <w:rPr>
          <w:color w:val="000000" w:themeColor="text1"/>
          <w:u w:color="000000" w:themeColor="text1"/>
        </w:rPr>
        <w:t>3535(E) of the 1976 Code is amended to read:</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tab/>
        <w:t>“(E)</w:t>
      </w:r>
      <w:r w:rsidRPr="00B462ED">
        <w:rPr>
          <w:color w:val="000000" w:themeColor="text1"/>
          <w:u w:color="000000" w:themeColor="text1"/>
        </w:rPr>
        <w:tab/>
        <w:t>The South Carolina Department of Archives and History shall develop an application and may promulgate regulations</w:t>
      </w:r>
      <w:r w:rsidRPr="00B462ED">
        <w:rPr>
          <w:strike/>
          <w:color w:val="000000" w:themeColor="text1"/>
          <w:u w:color="000000" w:themeColor="text1"/>
        </w:rPr>
        <w:t>, including the establishment of fees,</w:t>
      </w:r>
      <w:r w:rsidRPr="00B462ED">
        <w:rPr>
          <w:color w:val="000000" w:themeColor="text1"/>
          <w:u w:color="000000" w:themeColor="text1"/>
        </w:rPr>
        <w:t xml:space="preserve"> needed to administer the certification process. The Department of Revenue may promulgate regulations, including the establishment of fees, to administer the tax credit.”</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lastRenderedPageBreak/>
        <w:t>B.</w:t>
      </w:r>
      <w:r w:rsidRPr="00B462ED">
        <w:rPr>
          <w:color w:val="000000" w:themeColor="text1"/>
          <w:u w:color="000000" w:themeColor="text1"/>
        </w:rPr>
        <w:tab/>
      </w:r>
      <w:r w:rsidRPr="00B462ED">
        <w:rPr>
          <w:color w:val="000000" w:themeColor="text1"/>
          <w:u w:color="000000" w:themeColor="text1"/>
        </w:rPr>
        <w:tab/>
        <w:t>Section 12</w:t>
      </w:r>
      <w:r w:rsidR="004B0968">
        <w:rPr>
          <w:color w:val="000000" w:themeColor="text1"/>
          <w:u w:color="000000" w:themeColor="text1"/>
        </w:rPr>
        <w:noBreakHyphen/>
      </w:r>
      <w:r w:rsidRPr="00B462ED">
        <w:rPr>
          <w:color w:val="000000" w:themeColor="text1"/>
          <w:u w:color="000000" w:themeColor="text1"/>
        </w:rPr>
        <w:t>6</w:t>
      </w:r>
      <w:r w:rsidR="004B0968">
        <w:rPr>
          <w:color w:val="000000" w:themeColor="text1"/>
          <w:u w:color="000000" w:themeColor="text1"/>
        </w:rPr>
        <w:noBreakHyphen/>
      </w:r>
      <w:r w:rsidRPr="00B462ED">
        <w:rPr>
          <w:color w:val="000000" w:themeColor="text1"/>
          <w:u w:color="000000" w:themeColor="text1"/>
        </w:rPr>
        <w:t>3535 of the 1976 Code is amended by adding appropriately lettered subsections to read:</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tab/>
        <w:t>“(  )</w:t>
      </w:r>
      <w:r w:rsidRPr="00B462ED">
        <w:rPr>
          <w:color w:val="000000" w:themeColor="text1"/>
          <w:u w:color="000000" w:themeColor="text1"/>
        </w:rPr>
        <w:tab/>
        <w:t>A taxpayer claiming a credit pursuant to this section must pay a fee to the Department of Archives and History for the State Historic Preservation Grant Fund. The preliminary fee is one half of one percent of the estimated qualified rehabilitation expenses or the rehabilitation expenses, to be paid before review of an Historic Preservation Certification Application, Part 2, or a Certified Rehabilitation Application, S2. The final fee is one percent of the actual qualified rehabilitation expenses or the rehabilitation expenses, to be paid before review of an Historic Preservation Certification Application, Part 3, or a Certified Rehabilitation Application, S3, less any amount paid as a preliminary fee.</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tab/>
        <w:t>(  )</w:t>
      </w:r>
      <w:r w:rsidRPr="00B462ED">
        <w:rPr>
          <w:color w:val="000000" w:themeColor="text1"/>
          <w:u w:color="000000" w:themeColor="text1"/>
        </w:rPr>
        <w:tab/>
        <w:t>The Department of Archives and History shall develop an application process for distribution of funds from the State Historic Preservation Grant Fund, to include eligibility criteria and grant requirements.”</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t>SECTION</w:t>
      </w:r>
      <w:r w:rsidRPr="00B462ED">
        <w:rPr>
          <w:color w:val="000000" w:themeColor="text1"/>
          <w:u w:color="000000" w:themeColor="text1"/>
        </w:rPr>
        <w:tab/>
        <w:t>2.</w:t>
      </w:r>
      <w:r w:rsidRPr="00B462ED">
        <w:rPr>
          <w:color w:val="000000" w:themeColor="text1"/>
          <w:u w:color="000000" w:themeColor="text1"/>
        </w:rPr>
        <w:tab/>
        <w:t>A.</w:t>
      </w:r>
      <w:r w:rsidRPr="00B462ED">
        <w:rPr>
          <w:color w:val="000000" w:themeColor="text1"/>
          <w:u w:color="000000" w:themeColor="text1"/>
        </w:rPr>
        <w:tab/>
      </w:r>
      <w:r>
        <w:rPr>
          <w:color w:val="000000" w:themeColor="text1"/>
          <w:u w:color="000000" w:themeColor="text1"/>
        </w:rPr>
        <w:tab/>
      </w:r>
      <w:r w:rsidRPr="00B462ED">
        <w:rPr>
          <w:color w:val="000000" w:themeColor="text1"/>
          <w:u w:color="000000" w:themeColor="text1"/>
        </w:rPr>
        <w:t>Section 12</w:t>
      </w:r>
      <w:r w:rsidR="004B0968">
        <w:rPr>
          <w:color w:val="000000" w:themeColor="text1"/>
          <w:u w:color="000000" w:themeColor="text1"/>
        </w:rPr>
        <w:noBreakHyphen/>
      </w:r>
      <w:r w:rsidRPr="00B462ED">
        <w:rPr>
          <w:color w:val="000000" w:themeColor="text1"/>
          <w:u w:color="000000" w:themeColor="text1"/>
        </w:rPr>
        <w:t>6</w:t>
      </w:r>
      <w:r w:rsidR="004B0968">
        <w:rPr>
          <w:color w:val="000000" w:themeColor="text1"/>
          <w:u w:color="000000" w:themeColor="text1"/>
        </w:rPr>
        <w:noBreakHyphen/>
      </w:r>
      <w:r w:rsidRPr="00B462ED">
        <w:rPr>
          <w:color w:val="000000" w:themeColor="text1"/>
          <w:u w:color="000000" w:themeColor="text1"/>
        </w:rPr>
        <w:t>5060(A) of the 1976 Code is amended to read:</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tab/>
        <w:t>“(A)</w:t>
      </w:r>
      <w:r w:rsidRPr="00B462ED">
        <w:rPr>
          <w:color w:val="000000" w:themeColor="text1"/>
          <w:u w:color="000000" w:themeColor="text1"/>
        </w:rPr>
        <w:tab/>
        <w:t>Each taxpayer required to file a state individual income tax return may contribute to the War Between the States Heritage Trust Fund established pursuant to Section 51</w:t>
      </w:r>
      <w:r w:rsidR="004B0968">
        <w:rPr>
          <w:color w:val="000000" w:themeColor="text1"/>
          <w:u w:color="000000" w:themeColor="text1"/>
        </w:rPr>
        <w:noBreakHyphen/>
      </w:r>
      <w:r w:rsidRPr="00B462ED">
        <w:rPr>
          <w:color w:val="000000" w:themeColor="text1"/>
          <w:u w:color="000000" w:themeColor="text1"/>
        </w:rPr>
        <w:t>18</w:t>
      </w:r>
      <w:r w:rsidR="004B0968">
        <w:rPr>
          <w:color w:val="000000" w:themeColor="text1"/>
          <w:u w:color="000000" w:themeColor="text1"/>
        </w:rPr>
        <w:noBreakHyphen/>
      </w:r>
      <w:r w:rsidRPr="00B462ED">
        <w:rPr>
          <w:color w:val="000000" w:themeColor="text1"/>
          <w:u w:color="000000" w:themeColor="text1"/>
        </w:rPr>
        <w:t>115, the Nongame Wildlife and Natural Areas Program Fund established pursuant to Section 50</w:t>
      </w:r>
      <w:r w:rsidR="004B0968">
        <w:rPr>
          <w:color w:val="000000" w:themeColor="text1"/>
          <w:u w:color="000000" w:themeColor="text1"/>
        </w:rPr>
        <w:noBreakHyphen/>
      </w:r>
      <w:r w:rsidRPr="00B462ED">
        <w:rPr>
          <w:color w:val="000000" w:themeColor="text1"/>
          <w:u w:color="000000" w:themeColor="text1"/>
        </w:rPr>
        <w:t>1</w:t>
      </w:r>
      <w:r w:rsidR="004B0968">
        <w:rPr>
          <w:color w:val="000000" w:themeColor="text1"/>
          <w:u w:color="000000" w:themeColor="text1"/>
        </w:rPr>
        <w:noBreakHyphen/>
      </w:r>
      <w:r w:rsidRPr="00B462ED">
        <w:rPr>
          <w:color w:val="000000" w:themeColor="text1"/>
          <w:u w:color="000000" w:themeColor="text1"/>
        </w:rPr>
        <w:t>280, the Children</w:t>
      </w:r>
      <w:r w:rsidR="004B0968" w:rsidRPr="004B0968">
        <w:rPr>
          <w:color w:val="000000" w:themeColor="text1"/>
          <w:u w:color="000000" w:themeColor="text1"/>
        </w:rPr>
        <w:t>’</w:t>
      </w:r>
      <w:r w:rsidRPr="00B462ED">
        <w:rPr>
          <w:color w:val="000000" w:themeColor="text1"/>
          <w:u w:color="000000" w:themeColor="text1"/>
        </w:rPr>
        <w:t>s Trust Fund of South Carolina established pursuant to Section 63</w:t>
      </w:r>
      <w:r w:rsidR="004B0968">
        <w:rPr>
          <w:color w:val="000000" w:themeColor="text1"/>
          <w:u w:color="000000" w:themeColor="text1"/>
        </w:rPr>
        <w:noBreakHyphen/>
      </w:r>
      <w:r w:rsidRPr="00B462ED">
        <w:rPr>
          <w:color w:val="000000" w:themeColor="text1"/>
          <w:u w:color="000000" w:themeColor="text1"/>
        </w:rPr>
        <w:t>11</w:t>
      </w:r>
      <w:r w:rsidR="004B0968">
        <w:rPr>
          <w:color w:val="000000" w:themeColor="text1"/>
          <w:u w:color="000000" w:themeColor="text1"/>
        </w:rPr>
        <w:noBreakHyphen/>
      </w:r>
      <w:r w:rsidRPr="00B462ED">
        <w:rPr>
          <w:color w:val="000000" w:themeColor="text1"/>
          <w:u w:color="000000" w:themeColor="text1"/>
        </w:rPr>
        <w:t>910, the Eldercare Trust Fund of South Carolina established pursuant to Section 43</w:t>
      </w:r>
      <w:r w:rsidR="004B0968">
        <w:rPr>
          <w:color w:val="000000" w:themeColor="text1"/>
          <w:u w:color="000000" w:themeColor="text1"/>
        </w:rPr>
        <w:noBreakHyphen/>
      </w:r>
      <w:r w:rsidRPr="00B462ED">
        <w:rPr>
          <w:color w:val="000000" w:themeColor="text1"/>
          <w:u w:color="000000" w:themeColor="text1"/>
        </w:rPr>
        <w:t>21</w:t>
      </w:r>
      <w:r w:rsidR="004B0968">
        <w:rPr>
          <w:color w:val="000000" w:themeColor="text1"/>
          <w:u w:color="000000" w:themeColor="text1"/>
        </w:rPr>
        <w:noBreakHyphen/>
      </w:r>
      <w:r w:rsidRPr="00B462ED">
        <w:rPr>
          <w:color w:val="000000" w:themeColor="text1"/>
          <w:u w:color="000000" w:themeColor="text1"/>
        </w:rPr>
        <w:t>160, the First Steps to School Readiness Fund established pursuant to Section 63</w:t>
      </w:r>
      <w:r w:rsidR="004B0968">
        <w:rPr>
          <w:color w:val="000000" w:themeColor="text1"/>
          <w:u w:color="000000" w:themeColor="text1"/>
        </w:rPr>
        <w:noBreakHyphen/>
      </w:r>
      <w:r w:rsidRPr="00B462ED">
        <w:rPr>
          <w:color w:val="000000" w:themeColor="text1"/>
          <w:u w:color="000000" w:themeColor="text1"/>
        </w:rPr>
        <w:t>11</w:t>
      </w:r>
      <w:r w:rsidR="004B0968">
        <w:rPr>
          <w:color w:val="000000" w:themeColor="text1"/>
          <w:u w:color="000000" w:themeColor="text1"/>
        </w:rPr>
        <w:noBreakHyphen/>
      </w:r>
      <w:r w:rsidRPr="00B462ED">
        <w:rPr>
          <w:color w:val="000000" w:themeColor="text1"/>
          <w:u w:color="000000" w:themeColor="text1"/>
        </w:rPr>
        <w:t>1750, the South Carolina Military Family Relief Fund established pursuant to Article 3, Chapter 11, Title 25, the Donate Life South Carolina established pursuant to Section 44</w:t>
      </w:r>
      <w:r w:rsidR="004B0968">
        <w:rPr>
          <w:color w:val="000000" w:themeColor="text1"/>
          <w:u w:color="000000" w:themeColor="text1"/>
        </w:rPr>
        <w:noBreakHyphen/>
      </w:r>
      <w:r w:rsidRPr="00B462ED">
        <w:rPr>
          <w:color w:val="000000" w:themeColor="text1"/>
          <w:u w:color="000000" w:themeColor="text1"/>
        </w:rPr>
        <w:t>43</w:t>
      </w:r>
      <w:r w:rsidR="004B0968">
        <w:rPr>
          <w:color w:val="000000" w:themeColor="text1"/>
          <w:u w:color="000000" w:themeColor="text1"/>
        </w:rPr>
        <w:noBreakHyphen/>
      </w:r>
      <w:r w:rsidRPr="00B462ED">
        <w:rPr>
          <w:color w:val="000000" w:themeColor="text1"/>
          <w:u w:color="000000" w:themeColor="text1"/>
        </w:rPr>
        <w:t>1310, the Veterans</w:t>
      </w:r>
      <w:r w:rsidR="004B0968" w:rsidRPr="004B0968">
        <w:rPr>
          <w:color w:val="000000" w:themeColor="text1"/>
          <w:u w:color="000000" w:themeColor="text1"/>
        </w:rPr>
        <w:t>’</w:t>
      </w:r>
      <w:r w:rsidRPr="00B462ED">
        <w:rPr>
          <w:color w:val="000000" w:themeColor="text1"/>
          <w:u w:color="000000" w:themeColor="text1"/>
        </w:rPr>
        <w:t xml:space="preserve"> Trust Fund of South Carolina established pursuant to Chapter 21, Title 25, the South Carolina Litter Control Enforcement Program (SCLCEP) and used by the Governor</w:t>
      </w:r>
      <w:r w:rsidR="004B0968" w:rsidRPr="004B0968">
        <w:rPr>
          <w:color w:val="000000" w:themeColor="text1"/>
          <w:u w:color="000000" w:themeColor="text1"/>
        </w:rPr>
        <w:t>’</w:t>
      </w:r>
      <w:r w:rsidRPr="00B462ED">
        <w:rPr>
          <w:color w:val="000000" w:themeColor="text1"/>
          <w:u w:color="000000" w:themeColor="text1"/>
        </w:rPr>
        <w:t>s Task Force on Litter only for the SCLCEP Program, the South Carolina Law Enforcement Assistance Program (SCLEAP) and used as provided in Section 23</w:t>
      </w:r>
      <w:r w:rsidR="004B0968">
        <w:rPr>
          <w:color w:val="000000" w:themeColor="text1"/>
          <w:u w:color="000000" w:themeColor="text1"/>
        </w:rPr>
        <w:noBreakHyphen/>
      </w:r>
      <w:r w:rsidRPr="00B462ED">
        <w:rPr>
          <w:color w:val="000000" w:themeColor="text1"/>
          <w:u w:color="000000" w:themeColor="text1"/>
        </w:rPr>
        <w:t>3</w:t>
      </w:r>
      <w:r w:rsidR="004B0968">
        <w:rPr>
          <w:color w:val="000000" w:themeColor="text1"/>
          <w:u w:color="000000" w:themeColor="text1"/>
        </w:rPr>
        <w:noBreakHyphen/>
      </w:r>
      <w:r w:rsidRPr="00B462ED">
        <w:rPr>
          <w:color w:val="000000" w:themeColor="text1"/>
          <w:u w:color="000000" w:themeColor="text1"/>
        </w:rPr>
        <w:t xml:space="preserve">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w:t>
      </w:r>
      <w:r w:rsidRPr="00B462ED">
        <w:rPr>
          <w:color w:val="000000" w:themeColor="text1"/>
          <w:u w:color="000000" w:themeColor="text1"/>
        </w:rPr>
        <w:lastRenderedPageBreak/>
        <w:t>in its programs and operations, K</w:t>
      </w:r>
      <w:r w:rsidR="004B0968">
        <w:rPr>
          <w:color w:val="000000" w:themeColor="text1"/>
          <w:u w:color="000000" w:themeColor="text1"/>
        </w:rPr>
        <w:noBreakHyphen/>
      </w:r>
      <w:r w:rsidRPr="00B462ED">
        <w:rPr>
          <w:color w:val="000000" w:themeColor="text1"/>
          <w:u w:color="000000" w:themeColor="text1"/>
        </w:rPr>
        <w:t>12 public education for use in the manner the General Assembly provides by law, South Carolina Conservation Bank Trust Fund established pursuant to Section 48</w:t>
      </w:r>
      <w:r w:rsidR="004B0968">
        <w:rPr>
          <w:color w:val="000000" w:themeColor="text1"/>
          <w:u w:color="000000" w:themeColor="text1"/>
        </w:rPr>
        <w:noBreakHyphen/>
      </w:r>
      <w:r w:rsidRPr="00B462ED">
        <w:rPr>
          <w:color w:val="000000" w:themeColor="text1"/>
          <w:u w:color="000000" w:themeColor="text1"/>
        </w:rPr>
        <w:t>59</w:t>
      </w:r>
      <w:r w:rsidR="004B0968">
        <w:rPr>
          <w:color w:val="000000" w:themeColor="text1"/>
          <w:u w:color="000000" w:themeColor="text1"/>
        </w:rPr>
        <w:noBreakHyphen/>
      </w:r>
      <w:r w:rsidRPr="00B462ED">
        <w:rPr>
          <w:color w:val="000000" w:themeColor="text1"/>
          <w:u w:color="000000" w:themeColor="text1"/>
        </w:rPr>
        <w:t>60, the Financial Literacy Trust Fund established pursuant to Section 59</w:t>
      </w:r>
      <w:r w:rsidR="004B0968">
        <w:rPr>
          <w:color w:val="000000" w:themeColor="text1"/>
          <w:u w:color="000000" w:themeColor="text1"/>
        </w:rPr>
        <w:noBreakHyphen/>
      </w:r>
      <w:r w:rsidRPr="00B462ED">
        <w:rPr>
          <w:color w:val="000000" w:themeColor="text1"/>
          <w:u w:color="000000" w:themeColor="text1"/>
        </w:rPr>
        <w:t>29</w:t>
      </w:r>
      <w:r w:rsidR="004B0968">
        <w:rPr>
          <w:color w:val="000000" w:themeColor="text1"/>
          <w:u w:color="000000" w:themeColor="text1"/>
        </w:rPr>
        <w:noBreakHyphen/>
      </w:r>
      <w:r w:rsidRPr="00B462ED">
        <w:rPr>
          <w:color w:val="000000" w:themeColor="text1"/>
          <w:u w:color="000000" w:themeColor="text1"/>
        </w:rPr>
        <w:t xml:space="preserve">510, </w:t>
      </w:r>
      <w:r w:rsidRPr="00B462ED">
        <w:rPr>
          <w:strike/>
          <w:color w:val="000000" w:themeColor="text1"/>
          <w:u w:color="000000" w:themeColor="text1"/>
        </w:rPr>
        <w:t>or</w:t>
      </w:r>
      <w:r w:rsidRPr="00B462ED">
        <w:rPr>
          <w:color w:val="000000" w:themeColor="text1"/>
          <w:u w:color="000000" w:themeColor="text1"/>
        </w:rPr>
        <w:t xml:space="preserve"> the South Carolina Association of Habitat for Humanity Affiliates, </w:t>
      </w:r>
      <w:r w:rsidRPr="00B462ED">
        <w:rPr>
          <w:color w:val="000000" w:themeColor="text1"/>
          <w:u w:val="single" w:color="000000" w:themeColor="text1"/>
        </w:rPr>
        <w:t>or the Department of Archives and History and only used by the agency to purchase or preserve collections with significant historical value to the State</w:t>
      </w:r>
      <w:r w:rsidRPr="00B462ED">
        <w:rPr>
          <w:color w:val="000000" w:themeColor="text1"/>
          <w:u w:color="000000" w:themeColor="text1"/>
        </w:rPr>
        <w:t xml:space="preserve"> by designating the contribution on the return. The contribution may be made by reducing the income tax refund or by remitting additional payment by the amount designated.”</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067AED"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008141E1" w:rsidRPr="00B462ED">
        <w:rPr>
          <w:color w:val="000000" w:themeColor="text1"/>
          <w:u w:color="000000" w:themeColor="text1"/>
        </w:rPr>
        <w:t>Contributions made to the Department of Archives and History as provided in this act may be designated on an income tax return for tax years beginning after 2018.</w:t>
      </w:r>
    </w:p>
    <w:p w:rsidR="008141E1"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77B" w:rsidRPr="004F00BB" w:rsidRDefault="001E077B" w:rsidP="001E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Pr="004F00BB">
        <w:t>.</w:t>
      </w:r>
      <w:r>
        <w:tab/>
      </w:r>
      <w:r w:rsidRPr="004F00BB">
        <w:t>A.</w:t>
      </w:r>
      <w:r w:rsidRPr="004F00BB">
        <w:tab/>
        <w:t>Notwithstanding Section 1 of Act 265 of 2018, and Section 1.B. of Act 57 of 2013, upon the repeal of Chapter 67, Title 12 of the 1976 Code, any carryforward credits shall continue to be allowed until the five or eight year time period in Section 12-67-140 is completed.</w:t>
      </w:r>
    </w:p>
    <w:p w:rsidR="001E077B" w:rsidRDefault="001E077B" w:rsidP="001E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077B" w:rsidRDefault="001E077B" w:rsidP="001E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00BB">
        <w:t>B.</w:t>
      </w:r>
      <w:r w:rsidRPr="004F00BB">
        <w:tab/>
      </w:r>
      <w:r w:rsidR="00FE1134">
        <w:t xml:space="preserve"> </w:t>
      </w:r>
      <w:r w:rsidRPr="004F00BB">
        <w:t>Chapter 67, Title 12 of the 1976 Code is amended by adding:</w:t>
      </w:r>
    </w:p>
    <w:p w:rsidR="001E077B" w:rsidRPr="004F00BB" w:rsidRDefault="001E077B" w:rsidP="001E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077B" w:rsidRDefault="001E077B" w:rsidP="001E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0BB">
        <w:tab/>
        <w:t>“Section 12-67-170.</w:t>
      </w:r>
      <w:r w:rsidRPr="004F00BB">
        <w:tab/>
        <w:t xml:space="preserve">Notwithstanding any other provision of this chapter, if a taxpayer files a notice of intent to rehabilitate and has </w:t>
      </w:r>
      <w:r w:rsidRPr="004F00BB">
        <w:rPr>
          <w:szCs w:val="24"/>
          <w:u w:color="000000" w:themeColor="text1"/>
        </w:rPr>
        <w:t>been rehabilitating an abandoned building continuously for the preceding year and is more than sixty percent complete, then the taxpayer must be allowed to extend the placed in service date until ninety days after completion of construction, provided construction continues diligently until that date.  Nothing in this section may be construed to allow a taxpayer to earn a credit allowed by this chapter before the applicab</w:t>
      </w:r>
      <w:bookmarkStart w:id="5" w:name="temp"/>
      <w:bookmarkEnd w:id="5"/>
      <w:r w:rsidRPr="004F00BB">
        <w:rPr>
          <w:szCs w:val="24"/>
          <w:u w:color="000000" w:themeColor="text1"/>
        </w:rPr>
        <w:t>le phase or portion of the building site is placed in service.</w:t>
      </w:r>
      <w:r w:rsidR="00FE1134">
        <w:rPr>
          <w:szCs w:val="24"/>
          <w:u w:color="000000" w:themeColor="text1"/>
        </w:rPr>
        <w:t>”</w:t>
      </w:r>
    </w:p>
    <w:p w:rsidR="001E077B" w:rsidRPr="00B462ED" w:rsidRDefault="001E077B"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t>SECTION</w:t>
      </w:r>
      <w:r w:rsidRPr="00B462ED">
        <w:rPr>
          <w:color w:val="000000" w:themeColor="text1"/>
          <w:u w:color="000000" w:themeColor="text1"/>
        </w:rPr>
        <w:tab/>
      </w:r>
      <w:r w:rsidR="001E077B">
        <w:rPr>
          <w:color w:val="000000" w:themeColor="text1"/>
          <w:u w:color="000000" w:themeColor="text1"/>
        </w:rPr>
        <w:t>4</w:t>
      </w:r>
      <w:r w:rsidRPr="00B462ED">
        <w:rPr>
          <w:color w:val="000000" w:themeColor="text1"/>
          <w:u w:color="000000" w:themeColor="text1"/>
        </w:rPr>
        <w:t>.</w:t>
      </w:r>
      <w:r w:rsidRPr="00B462ED">
        <w:rPr>
          <w:color w:val="000000" w:themeColor="text1"/>
          <w:u w:color="000000" w:themeColor="text1"/>
        </w:rPr>
        <w:tab/>
        <w:t>Except as otherwise provided, this act takes effect upon approval by the Governor and applies to income tax years beginning after 2018.</w:t>
      </w:r>
    </w:p>
    <w:p w:rsidR="00881ECD" w:rsidRDefault="004B09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7C0C" w:rsidRDefault="00977C0C" w:rsidP="00977C0C">
      <w:pPr>
        <w:suppressAutoHyphens/>
      </w:pPr>
    </w:p>
    <w:sectPr w:rsidR="00977C0C" w:rsidSect="00F074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5240" w:rsidRDefault="00D85240" w:rsidP="009F0C77">
      <w:r>
        <w:separator/>
      </w:r>
    </w:p>
  </w:endnote>
  <w:endnote w:type="continuationSeparator" w:id="0">
    <w:p w:rsidR="00D85240" w:rsidRDefault="00D852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C560575-6F02-4151-B1CE-F0A203E19C29}"/>
    <w:embedBold r:id="rId2" w:fontKey="{BB2DC3E9-6E59-40E4-92F4-22C67B7A7A4E}"/>
  </w:font>
  <w:font w:name="Calibri">
    <w:panose1 w:val="020F0502020204030204"/>
    <w:charset w:val="00"/>
    <w:family w:val="swiss"/>
    <w:pitch w:val="variable"/>
    <w:sig w:usb0="E0002AFF" w:usb1="C000247B" w:usb2="00000009" w:usb3="00000000" w:csb0="000001FF" w:csb1="00000000"/>
    <w:embedRegular r:id="rId3" w:fontKey="{E516FB7A-9921-4F26-A251-D512BCB0D1AE}"/>
  </w:font>
  <w:font w:name="Segoe UI">
    <w:panose1 w:val="020B0502040204020203"/>
    <w:charset w:val="00"/>
    <w:family w:val="swiss"/>
    <w:pitch w:val="variable"/>
    <w:sig w:usb0="E4002EFF" w:usb1="C000E47F" w:usb2="00000009" w:usb3="00000000" w:csb0="000001FF" w:csb1="00000000"/>
    <w:embedRegular r:id="rId4" w:fontKey="{1D08D713-E3F3-4F13-BBA3-11A5B821882C}"/>
  </w:font>
  <w:font w:name="Cambria">
    <w:panose1 w:val="02040503050406030204"/>
    <w:charset w:val="00"/>
    <w:family w:val="roman"/>
    <w:pitch w:val="variable"/>
    <w:sig w:usb0="E00006FF" w:usb1="420024FF" w:usb2="02000000" w:usb3="00000000" w:csb0="0000019F" w:csb1="00000000"/>
    <w:embedRegular r:id="rId5" w:fontKey="{EE4F39BB-26C8-4366-990C-73415CD597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ECD" w:rsidRPr="00D81E6A" w:rsidRDefault="00D81E6A" w:rsidP="00D81E6A">
    <w:pPr>
      <w:pStyle w:val="Footer"/>
      <w:tabs>
        <w:tab w:val="clear" w:pos="4680"/>
        <w:tab w:val="clear" w:pos="9360"/>
        <w:tab w:val="center" w:pos="2995"/>
      </w:tabs>
      <w:spacing w:before="120"/>
    </w:pPr>
    <w:r>
      <w:t>[3485</w:t>
    </w:r>
    <w:r w:rsidR="00F074C3">
      <w:t>-</w:t>
    </w:r>
    <w:r w:rsidR="00F074C3">
      <w:fldChar w:fldCharType="begin"/>
    </w:r>
    <w:r w:rsidR="00F074C3">
      <w:instrText xml:space="preserve"> PAGE  \* MERGEFORMAT </w:instrText>
    </w:r>
    <w:r w:rsidR="00F074C3">
      <w:fldChar w:fldCharType="separate"/>
    </w:r>
    <w:r w:rsidR="00FE1134">
      <w:rPr>
        <w:noProof/>
      </w:rPr>
      <w:t>1</w:t>
    </w:r>
    <w:r w:rsidR="00F074C3">
      <w:fldChar w:fldCharType="end"/>
    </w:r>
    <w:r w:rsidR="00F074C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4C3" w:rsidRPr="00D81E6A" w:rsidRDefault="00F074C3" w:rsidP="00D81E6A">
    <w:pPr>
      <w:pStyle w:val="Footer"/>
      <w:tabs>
        <w:tab w:val="clear" w:pos="4680"/>
        <w:tab w:val="clear" w:pos="9360"/>
        <w:tab w:val="center" w:pos="2995"/>
      </w:tabs>
      <w:spacing w:before="120"/>
    </w:pPr>
    <w:r>
      <w:t>[3485]</w:t>
    </w:r>
    <w:r>
      <w:tab/>
    </w:r>
    <w:r>
      <w:fldChar w:fldCharType="begin"/>
    </w:r>
    <w:r>
      <w:instrText xml:space="preserve"> PAGE  \* MERGEFORMAT </w:instrText>
    </w:r>
    <w:r>
      <w:fldChar w:fldCharType="separate"/>
    </w:r>
    <w:r w:rsidR="00977C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5240" w:rsidRDefault="00D85240" w:rsidP="009F0C77">
      <w:r>
        <w:separator/>
      </w:r>
    </w:p>
  </w:footnote>
  <w:footnote w:type="continuationSeparator" w:id="0">
    <w:p w:rsidR="00D85240" w:rsidRDefault="00D852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11SA19"/>
    <w:docVar w:name="CoverBillType" w:val="b"/>
    <w:docVar w:name="DocPath" w:val="L:\Council\bills\RT\17511SA19.DOCX"/>
    <w:docVar w:name="dvBillNumber" w:val="3485"/>
    <w:docVar w:name="dvBillNumberPrefix" w:val="H. "/>
    <w:docVar w:name="dvOriginalBody" w:val="House"/>
    <w:docVar w:name="dvSteno" w:val="RT"/>
    <w:docVar w:name="NameofBody" w:val="h"/>
    <w:docVar w:name="vGroup2" w:val="Council"/>
  </w:docVars>
  <w:rsids>
    <w:rsidRoot w:val="00D85240"/>
    <w:rsid w:val="00011869"/>
    <w:rsid w:val="00015CD6"/>
    <w:rsid w:val="00051594"/>
    <w:rsid w:val="00067AED"/>
    <w:rsid w:val="000E0100"/>
    <w:rsid w:val="000E1785"/>
    <w:rsid w:val="000F40FA"/>
    <w:rsid w:val="001035F1"/>
    <w:rsid w:val="0010776B"/>
    <w:rsid w:val="00133E66"/>
    <w:rsid w:val="001435A3"/>
    <w:rsid w:val="00146ED3"/>
    <w:rsid w:val="00151044"/>
    <w:rsid w:val="001D08F2"/>
    <w:rsid w:val="001D3A58"/>
    <w:rsid w:val="001D525B"/>
    <w:rsid w:val="001D7F4F"/>
    <w:rsid w:val="001E077B"/>
    <w:rsid w:val="00205238"/>
    <w:rsid w:val="002321B6"/>
    <w:rsid w:val="00250967"/>
    <w:rsid w:val="002543C8"/>
    <w:rsid w:val="0025541D"/>
    <w:rsid w:val="00284AAE"/>
    <w:rsid w:val="002E5912"/>
    <w:rsid w:val="002F527D"/>
    <w:rsid w:val="00301B21"/>
    <w:rsid w:val="00325348"/>
    <w:rsid w:val="0032732C"/>
    <w:rsid w:val="00336AD0"/>
    <w:rsid w:val="0037079A"/>
    <w:rsid w:val="003C4DAB"/>
    <w:rsid w:val="003D01E8"/>
    <w:rsid w:val="003E5288"/>
    <w:rsid w:val="003F6D79"/>
    <w:rsid w:val="0041760A"/>
    <w:rsid w:val="00417C01"/>
    <w:rsid w:val="004403BD"/>
    <w:rsid w:val="00461441"/>
    <w:rsid w:val="00465935"/>
    <w:rsid w:val="004809EE"/>
    <w:rsid w:val="004B0968"/>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141E1"/>
    <w:rsid w:val="008362E8"/>
    <w:rsid w:val="0085786E"/>
    <w:rsid w:val="00881ECD"/>
    <w:rsid w:val="008A1768"/>
    <w:rsid w:val="008A489F"/>
    <w:rsid w:val="008F0F33"/>
    <w:rsid w:val="008F4429"/>
    <w:rsid w:val="0094021A"/>
    <w:rsid w:val="00977C0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81E6A"/>
    <w:rsid w:val="00D85240"/>
    <w:rsid w:val="00D970A9"/>
    <w:rsid w:val="00DF3845"/>
    <w:rsid w:val="00E41911"/>
    <w:rsid w:val="00E44B57"/>
    <w:rsid w:val="00E92EEF"/>
    <w:rsid w:val="00EF2368"/>
    <w:rsid w:val="00F074C3"/>
    <w:rsid w:val="00F24442"/>
    <w:rsid w:val="00F50AE3"/>
    <w:rsid w:val="00F655B7"/>
    <w:rsid w:val="00F656BA"/>
    <w:rsid w:val="00F67CF1"/>
    <w:rsid w:val="00F728AA"/>
    <w:rsid w:val="00F840F0"/>
    <w:rsid w:val="00FB0D0D"/>
    <w:rsid w:val="00FB43B4"/>
    <w:rsid w:val="00FB6B0B"/>
    <w:rsid w:val="00FE113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9177B4-FC25-4984-AEDC-C734936E8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7A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7AE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2C2B3-5B82-42CD-9275-831ED8CD0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486A2CD4</Template>
  <TotalTime>0</TotalTime>
  <Pages>4</Pages>
  <Words>915</Words>
  <Characters>4907</Characters>
  <Application>Microsoft Office Word</Application>
  <DocSecurity>0</DocSecurity>
  <Lines>139</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3485 Text of Previous Version (Apr. 10, 2019) - South Carolina Legislature Online</dc:title>
  <dc:creator>Rebecca Turner</dc:creator>
  <cp:lastModifiedBy>Lavarres Lynch</cp:lastModifiedBy>
  <cp:revision>2</cp:revision>
  <cp:lastPrinted>2018-12-13T20:56:00Z</cp:lastPrinted>
  <dcterms:created xsi:type="dcterms:W3CDTF">2019-04-10T17:36:00Z</dcterms:created>
  <dcterms:modified xsi:type="dcterms:W3CDTF">2019-04-10T17:36:00Z</dcterms:modified>
</cp:coreProperties>
</file>