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88C"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2019</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Pr="00764305" w:rsidRDefault="00764305" w:rsidP="00764305">
      <w:pPr>
        <w:tabs>
          <w:tab w:val="right" w:pos="5933"/>
        </w:tabs>
        <w:suppressAutoHyphens/>
      </w:pPr>
      <w:r>
        <w:tab/>
      </w:r>
      <w:r>
        <w:rPr>
          <w:b/>
          <w:sz w:val="36"/>
        </w:rPr>
        <w:t>H. 3576</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Cobb</w:t>
      </w:r>
      <w:r>
        <w:noBreakHyphen/>
        <w:t>Hunter, Garvin, Rose, Loftis, Gilliard, Moore, Clemmons and Jefferson</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3/14/19--S.</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764305" w:rsidRP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P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3576) </w:t>
      </w:r>
      <w:r w:rsidRPr="00764305">
        <w:rPr>
          <w:color w:val="000000" w:themeColor="text1"/>
          <w:u w:color="000000" w:themeColor="text1"/>
        </w:rPr>
        <w:t>to amend the Code of Laws of South Carolina, 1976, by adding Section 59</w:t>
      </w:r>
      <w:r w:rsidRPr="00764305">
        <w:rPr>
          <w:color w:val="000000" w:themeColor="text1"/>
          <w:u w:color="000000" w:themeColor="text1"/>
        </w:rPr>
        <w:noBreakHyphen/>
        <w:t>150</w:t>
      </w:r>
      <w:r w:rsidRPr="00764305">
        <w:rPr>
          <w:color w:val="000000" w:themeColor="text1"/>
          <w:u w:color="000000" w:themeColor="text1"/>
        </w:rPr>
        <w:noBreakHyphen/>
        <w:t>365 so as to establish the South Carolina Workforce Industry Needs Scholarship</w:t>
      </w:r>
      <w:r>
        <w:t>, etc., respectfully</w:t>
      </w:r>
    </w:p>
    <w:p w:rsidR="00764305" w:rsidRP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Amend the bill, as and if amended, by striking all after the enacting words and inserting:</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w:t>
      </w:r>
      <w:r>
        <w:rPr>
          <w:snapToGrid w:val="0"/>
        </w:rPr>
        <w:tab/>
      </w:r>
      <w:r w:rsidRPr="00C45ED3">
        <w:rPr>
          <w:snapToGrid w:val="0"/>
        </w:rPr>
        <w:t>SECTION</w:t>
      </w:r>
      <w:r w:rsidRPr="00C45ED3">
        <w:rPr>
          <w:snapToGrid w:val="0"/>
        </w:rPr>
        <w:tab/>
        <w:t>1.</w:t>
      </w:r>
      <w:r w:rsidRPr="00C45ED3">
        <w:rPr>
          <w:snapToGrid w:val="0"/>
        </w:rPr>
        <w:tab/>
        <w:t>Chapter 150, Title 59 of the 1976 Code is amended by adding:</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“Section 59</w:t>
      </w:r>
      <w:r w:rsidRPr="00C45ED3">
        <w:rPr>
          <w:snapToGrid w:val="0"/>
        </w:rPr>
        <w:noBreakHyphen/>
        <w:t>150</w:t>
      </w:r>
      <w:r w:rsidRPr="00C45ED3">
        <w:rPr>
          <w:snapToGrid w:val="0"/>
        </w:rPr>
        <w:noBreakHyphen/>
        <w:t>365.</w:t>
      </w:r>
      <w:r w:rsidRPr="00C45ED3">
        <w:rPr>
          <w:snapToGrid w:val="0"/>
        </w:rPr>
        <w:tab/>
        <w:t>(A)(1)</w:t>
      </w:r>
      <w:r w:rsidRPr="00C45ED3">
        <w:rPr>
          <w:snapToGrid w:val="0"/>
        </w:rPr>
        <w:tab/>
        <w:t>A student who is attending a two</w:t>
      </w:r>
      <w:r w:rsidRPr="00C45ED3">
        <w:rPr>
          <w:snapToGrid w:val="0"/>
        </w:rPr>
        <w:noBreakHyphen/>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Promise (SCWP) Scholarship. A student who is attending a two</w:t>
      </w:r>
      <w:r w:rsidRPr="00C45ED3">
        <w:rPr>
          <w:snapToGrid w:val="0"/>
        </w:rPr>
        <w:noBreakHyphen/>
        <w:t>year public technical college, who meets the income eligibility guidelines for free and reduced</w:t>
      </w:r>
      <w:r w:rsidRPr="00C45ED3">
        <w:rPr>
          <w:snapToGrid w:val="0"/>
        </w:rPr>
        <w:noBreakHyphen/>
        <w:t xml:space="preserve">priced meals as established by the United States Department of Agriculture (USDA) and who is receiving a LTAP scholarship for the current year, shall receive a SCWP scholarship regardless of the student’s major. Subject to the funds appropriated, the SCWP scholarship is equal to the cost of tuition and mandatory fees after applying all other scholarships or grants, not to exceed two thousand five hundred dollars each year for no more than three years </w:t>
      </w:r>
      <w:r w:rsidRPr="00C45ED3">
        <w:rPr>
          <w:snapToGrid w:val="0"/>
        </w:rPr>
        <w:lastRenderedPageBreak/>
        <w:t>of instruction, including the student’s freshman year, if the student is enrolled in an associate degree program, or no more than two years of instruction, including the student’s freshman year, if enrolled in a diploma or certificate program.</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r>
      <w:r w:rsidRPr="00C45ED3">
        <w:rPr>
          <w:snapToGrid w:val="0"/>
        </w:rPr>
        <w:tab/>
        <w:t>(2)</w:t>
      </w:r>
      <w:r w:rsidRPr="00C45ED3">
        <w:rPr>
          <w:snapToGrid w:val="0"/>
        </w:rPr>
        <w:tab/>
        <w:t>During the student’s freshman year, the student must be enrolled in at least six credit hours of instruction each semester, including at least three credit hours of instruction in one of the critical workforce areas defined by the SBTCE. A student who meets the income guidelines for free and reduced-priced meals as established by the USDA, must be enrolled in at least six credit hours of instruction each semester for the purpose of meeting the required minimum level of instruction in the student’s major courses during the student’s freshman year. To receive the additional SCWP scholarship each school year, the student must receive the underlying LTAP scholarship for that school year and must be making acceptable progress each school year towards receiving a degree pursuant to this section. Dual enrollment courses taken in high school in these critical workforce area programs count toward the fulfillment of the minimum requirement.</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(B)</w:t>
      </w:r>
      <w:r w:rsidRPr="00C45ED3">
        <w:rPr>
          <w:snapToGrid w:val="0"/>
        </w:rPr>
        <w:tab/>
        <w:t xml:space="preserve">The SBTCE shall promulgate regulations to define what constitutes a critical workforce program area. Nothing herein prevents a student from changing majors within the acceptable disciplines.  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(C)</w:t>
      </w:r>
      <w:r w:rsidRPr="00C45ED3">
        <w:rPr>
          <w:snapToGrid w:val="0"/>
        </w:rPr>
        <w:tab/>
        <w:t>If the additional SCWP scholarship is lost, it may be regained in the same manner the underlying LTAP scholarship is regained.</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(D)</w:t>
      </w:r>
      <w:r w:rsidRPr="00C45ED3">
        <w:rPr>
          <w:snapToGrid w:val="0"/>
        </w:rPr>
        <w:tab/>
        <w:t>In order for a student to be eligible after attempting twenty</w:t>
      </w:r>
      <w:r w:rsidRPr="00C45ED3">
        <w:rPr>
          <w:snapToGrid w:val="0"/>
        </w:rPr>
        <w:noBreakHyphen/>
        <w:t xml:space="preserve">four academic credit hours, the student must have earned a grade point average of 2.0 or better on a 4.0 grading scale. </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(E)</w:t>
      </w:r>
      <w:r w:rsidRPr="00C45ED3">
        <w:rPr>
          <w:snapToGrid w:val="0"/>
        </w:rPr>
        <w:tab/>
        <w:t>A student may not be eligible to receive the SCWP scholarship for more than one certificate, diploma, or degree within any five</w:t>
      </w:r>
      <w:r w:rsidRPr="00C45ED3">
        <w:rPr>
          <w:snapToGrid w:val="0"/>
        </w:rPr>
        <w:noBreakHyphen/>
        <w:t xml:space="preserve">year period unless the additional certificate, diploma, or degree constitutes progress in the same field of study. </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(F)</w:t>
      </w:r>
      <w:r w:rsidRPr="00C45ED3">
        <w:rPr>
          <w:snapToGrid w:val="0"/>
        </w:rPr>
        <w:tab/>
        <w:t>A dual</w:t>
      </w:r>
      <w:r w:rsidRPr="00C45ED3">
        <w:rPr>
          <w:snapToGrid w:val="0"/>
        </w:rPr>
        <w:noBreakHyphen/>
        <w:t xml:space="preserve">enrollment student in high school, who is majoring in one of the critical workforce areas and receives a LTAP scholarship at a technical college qualifies for the SCWP scholarship. A dual enrollment student in high school who receives </w:t>
      </w:r>
      <w:r w:rsidRPr="00C45ED3">
        <w:rPr>
          <w:snapToGrid w:val="0"/>
        </w:rPr>
        <w:lastRenderedPageBreak/>
        <w:t>a LTAP scholarship at a technical college and qualifies for free and reduced</w:t>
      </w:r>
      <w:r w:rsidRPr="00C45ED3">
        <w:rPr>
          <w:snapToGrid w:val="0"/>
        </w:rPr>
        <w:noBreakHyphen/>
        <w:t>priced meals, also qualifies for the SCWP scholarship regardless of the student’s major.</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(G)</w:t>
      </w:r>
      <w:r w:rsidRPr="00C45ED3">
        <w:rPr>
          <w:snapToGrid w:val="0"/>
        </w:rPr>
        <w:tab/>
        <w:t>Additionally, an up to three</w:t>
      </w:r>
      <w:r w:rsidRPr="00C45ED3">
        <w:rPr>
          <w:snapToGrid w:val="0"/>
        </w:rPr>
        <w:noBreakHyphen/>
        <w:t>hundred</w:t>
      </w:r>
      <w:r w:rsidRPr="00C45ED3">
        <w:rPr>
          <w:snapToGrid w:val="0"/>
        </w:rPr>
        <w:noBreakHyphen/>
        <w:t xml:space="preserve">dollar book allowance each school year is applied to a SCWP recipient’s account, who is majoring in one of the critical workforce areas, for expenses towards the cost of textbooks. </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(H)</w:t>
      </w:r>
      <w:r w:rsidRPr="00C45ED3">
        <w:rPr>
          <w:snapToGrid w:val="0"/>
        </w:rPr>
        <w:tab/>
        <w:t>If a critical workforce area program is placed on suspension during the SBTCE’s annual program evaluation process, that program no longer qualifies for SCWP funds at that specific college.  Students must be advised on how to complete their program by transferring to another technical college or serving as a transient student at another technical college to complete specified courses.”</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45ED3">
        <w:rPr>
          <w:snapToGrid w:val="0"/>
        </w:rPr>
        <w:t>SECTION</w:t>
      </w:r>
      <w:r w:rsidRPr="00C45ED3">
        <w:rPr>
          <w:snapToGrid w:val="0"/>
        </w:rPr>
        <w:tab/>
        <w:t>2.</w:t>
      </w:r>
      <w:r w:rsidRPr="00C45ED3">
        <w:rPr>
          <w:snapToGrid w:val="0"/>
        </w:rPr>
        <w:tab/>
        <w:t>This act takes effect on July 1, 2019, and first applies to the 2019-2020 School Year.</w:t>
      </w:r>
      <w:r w:rsidRPr="00C45ED3">
        <w:rPr>
          <w:snapToGrid w:val="0"/>
        </w:rPr>
        <w:tab/>
      </w:r>
      <w:r w:rsidRPr="00C45ED3">
        <w:rPr>
          <w:snapToGrid w:val="0"/>
        </w:rPr>
        <w:tab/>
        <w:t>/</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Renumber sections to conform.</w:t>
      </w:r>
    </w:p>
    <w:p w:rsid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5ED3">
        <w:rPr>
          <w:snapToGrid w:val="0"/>
        </w:rPr>
        <w:tab/>
        <w:t>Amend title to conform.</w:t>
      </w:r>
    </w:p>
    <w:p w:rsidR="00764305" w:rsidRPr="00C45ED3"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764305" w:rsidRPr="00764305" w:rsidRDefault="00764305" w:rsidP="0076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305" w:rsidRDefault="007643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4305" w:rsidSect="006A4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7DCC" w:rsidRDefault="002F7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6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sidR="000A4CF1">
        <w:rPr>
          <w:color w:val="000000" w:themeColor="text1"/>
          <w:u w:color="000000" w:themeColor="text1"/>
        </w:rPr>
        <w:noBreakHyphen/>
      </w:r>
      <w:r w:rsidRPr="00F2592F">
        <w:rPr>
          <w:color w:val="000000" w:themeColor="text1"/>
          <w:u w:color="000000" w:themeColor="text1"/>
        </w:rPr>
        <w:t>150</w:t>
      </w:r>
      <w:r w:rsidR="000A4CF1">
        <w:rPr>
          <w:color w:val="000000" w:themeColor="text1"/>
          <w:u w:color="000000" w:themeColor="text1"/>
        </w:rPr>
        <w:noBreakHyphen/>
      </w:r>
      <w:r w:rsidRPr="00F2592F">
        <w:rPr>
          <w:color w:val="000000" w:themeColor="text1"/>
          <w:u w:color="000000" w:themeColor="text1"/>
        </w:rPr>
        <w:t>365 SO AS TO ESTABLISH THE SOUTH CAROLINA WORKFORCE INDUSTRY NEEDS SCHOLARSHIP (SC WINS), TO PROVIDE THAT CERTAIN STUDENTS ATTENDING A TWO</w:t>
      </w:r>
      <w:r w:rsidR="000A4CF1">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bookmarkEnd w:id="1"/>
    </w:p>
    <w:p w:rsidR="00B83CD0" w:rsidRDefault="00B83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20" w:rsidRPr="00F2592F" w:rsidRDefault="00B856DD"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B20" w:rsidRPr="00F2592F">
        <w:rPr>
          <w:color w:val="000000" w:themeColor="text1"/>
          <w:u w:color="000000" w:themeColor="text1"/>
        </w:rPr>
        <w:t>Chapter 150, Title 59 of the 1976 Code is amended by adding:</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6B7311"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894">
        <w:tab/>
        <w:t>“Section 59-150-365.</w:t>
      </w:r>
      <w:r w:rsidRPr="00CE0894">
        <w:tab/>
        <w:t>(A)(1)</w:t>
      </w:r>
      <w:r w:rsidRPr="00CE0894">
        <w:tab/>
        <w:t>A student who is attending a two</w:t>
      </w:r>
      <w:r w:rsidRPr="00CE0894">
        <w:noBreakHyphen/>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tuition and mandatory fees after applying all other scholarships or grants, not to exceed two thousand five hundred dollars each year for no more than three years of instruction, including the student’s freshman year, if the student is enrolled in an associate degree program, or no more than two years of instruction, including the student’s freshman year, if enrolled in a diploma or certificate program.</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lastRenderedPageBreak/>
        <w:tab/>
      </w:r>
      <w:r w:rsidRPr="00F2592F">
        <w:rPr>
          <w:color w:val="000000" w:themeColor="text1"/>
          <w:u w:color="000000" w:themeColor="text1"/>
        </w:rPr>
        <w:tab/>
        <w:t>(2)</w:t>
      </w:r>
      <w:r w:rsidRPr="00F2592F">
        <w:rPr>
          <w:color w:val="000000" w:themeColor="text1"/>
          <w:u w:color="000000" w:themeColor="text1"/>
        </w:rPr>
        <w:tab/>
        <w:t>During the student</w:t>
      </w:r>
      <w:r w:rsidR="000A4CF1" w:rsidRPr="000A4CF1">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sidR="000A4CF1">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000A4CF1" w:rsidRPr="000A4CF1">
        <w:rPr>
          <w:color w:val="000000" w:themeColor="text1"/>
          <w:u w:color="000000" w:themeColor="text1"/>
        </w:rPr>
        <w:t>’</w:t>
      </w:r>
      <w:r w:rsidRPr="00F2592F">
        <w:rPr>
          <w:color w:val="000000" w:themeColor="text1"/>
          <w:u w:color="000000" w:themeColor="text1"/>
        </w:rPr>
        <w:t>s major courses during a student</w:t>
      </w:r>
      <w:r w:rsidR="000A4CF1" w:rsidRPr="000A4CF1">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 xml:space="preserve">The SBTCE shall promulgate regulations to define what constitutes a critical workforce program area. Nothing herein prevents a student from changing majors within the acceptable disciplines.  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sidR="000A4CF1">
        <w:rPr>
          <w:color w:val="000000" w:themeColor="text1"/>
          <w:u w:color="000000" w:themeColor="text1"/>
        </w:rPr>
        <w:t>ame manner the underlying LTAP s</w:t>
      </w:r>
      <w:r w:rsidRPr="00F2592F">
        <w:rPr>
          <w:color w:val="000000" w:themeColor="text1"/>
          <w:u w:color="000000" w:themeColor="text1"/>
        </w:rPr>
        <w:t>cholarship is regained.</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sidR="000A4CF1">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sidR="000A4CF1">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rsidR="006B7311" w:rsidRDefault="006B7311"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4F6">
        <w:tab/>
        <w:t>(F)</w:t>
      </w:r>
      <w:r w:rsidRPr="00B034F6">
        <w:tab/>
        <w:t>A dual</w:t>
      </w:r>
      <w:r w:rsidRPr="00B034F6">
        <w:noBreakHyphen/>
        <w:t>enrollment student in high school, who is majoring in one of the critical workforce areas at a technical college qualifies for the SC WINS scholarship.</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sidR="000A4CF1">
        <w:rPr>
          <w:color w:val="000000" w:themeColor="text1"/>
          <w:u w:color="000000" w:themeColor="text1"/>
        </w:rPr>
        <w:noBreakHyphen/>
      </w:r>
      <w:r w:rsidRPr="00F2592F">
        <w:rPr>
          <w:color w:val="000000" w:themeColor="text1"/>
          <w:u w:color="000000" w:themeColor="text1"/>
        </w:rPr>
        <w:t>hundred</w:t>
      </w:r>
      <w:r w:rsidR="000A4CF1">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000A4CF1" w:rsidRPr="000A4CF1">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000A4CF1" w:rsidRPr="000A4CF1">
        <w:rPr>
          <w:color w:val="000000" w:themeColor="text1"/>
          <w:u w:color="000000" w:themeColor="text1"/>
        </w:rPr>
        <w:t>’</w:t>
      </w:r>
      <w:r w:rsidRPr="00F2592F">
        <w:rPr>
          <w:color w:val="000000" w:themeColor="text1"/>
          <w:u w:color="000000" w:themeColor="text1"/>
        </w:rPr>
        <w:t xml:space="preserve">s annual program evaluation process, that program no longer qualifies for SC WINS funds at that specific </w:t>
      </w:r>
      <w:r w:rsidRPr="00F2592F">
        <w:rPr>
          <w:color w:val="000000" w:themeColor="text1"/>
          <w:u w:color="000000" w:themeColor="text1"/>
        </w:rPr>
        <w:lastRenderedPageBreak/>
        <w:t>college.  Students must be advised on how to complete their program by transferring to another technical college or serving as a transient student at another technical college to complete specified courses.”</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sidR="00EF68DB">
        <w:rPr>
          <w:color w:val="000000" w:themeColor="text1"/>
          <w:u w:color="000000" w:themeColor="text1"/>
        </w:rPr>
        <w:tab/>
        <w:t>This act takes effect on July 1, 2019</w:t>
      </w:r>
      <w:r w:rsidR="00AF74B1">
        <w:rPr>
          <w:color w:val="000000" w:themeColor="text1"/>
          <w:u w:color="000000" w:themeColor="text1"/>
        </w:rPr>
        <w:t>,</w:t>
      </w:r>
      <w:r w:rsidR="00EF68DB">
        <w:rPr>
          <w:color w:val="000000" w:themeColor="text1"/>
          <w:u w:color="000000" w:themeColor="text1"/>
        </w:rPr>
        <w:t xml:space="preserve"> and applies to the 2019</w:t>
      </w:r>
      <w:r w:rsidR="000A4CF1">
        <w:rPr>
          <w:color w:val="000000" w:themeColor="text1"/>
          <w:u w:color="000000" w:themeColor="text1"/>
        </w:rPr>
        <w:noBreakHyphen/>
      </w:r>
      <w:r w:rsidRPr="00F2592F">
        <w:rPr>
          <w:color w:val="000000" w:themeColor="text1"/>
          <w:u w:color="000000" w:themeColor="text1"/>
        </w:rPr>
        <w:t>202</w:t>
      </w:r>
      <w:r w:rsidR="00EF68DB">
        <w:rPr>
          <w:color w:val="000000" w:themeColor="text1"/>
          <w:u w:color="000000" w:themeColor="text1"/>
        </w:rPr>
        <w:t>0</w:t>
      </w:r>
      <w:r w:rsidRPr="00F2592F">
        <w:rPr>
          <w:color w:val="000000" w:themeColor="text1"/>
          <w:u w:color="000000" w:themeColor="text1"/>
        </w:rPr>
        <w:t xml:space="preserve"> school year. </w:t>
      </w:r>
    </w:p>
    <w:p w:rsidR="00913842" w:rsidRDefault="000A4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633A" w:rsidRDefault="00EB633A" w:rsidP="00EB633A">
      <w:pPr>
        <w:suppressAutoHyphens/>
      </w:pPr>
    </w:p>
    <w:sectPr w:rsidR="00EB633A" w:rsidSect="006A4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6DD" w:rsidRDefault="00B856DD" w:rsidP="009F0C77">
      <w:r>
        <w:separator/>
      </w:r>
    </w:p>
  </w:endnote>
  <w:endnote w:type="continuationSeparator" w:id="0">
    <w:p w:rsidR="00B856DD" w:rsidRDefault="00B85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53B4F6D-678F-4A62-9B58-2AECE5301FCA}"/>
    <w:embedBold r:id="rId2" w:fontKey="{193BABFA-3389-4571-82C0-A30971A27714}"/>
  </w:font>
  <w:font w:name="Calibri">
    <w:panose1 w:val="020F0502020204030204"/>
    <w:charset w:val="00"/>
    <w:family w:val="swiss"/>
    <w:pitch w:val="variable"/>
    <w:sig w:usb0="E0002AFF" w:usb1="C000247B" w:usb2="00000009" w:usb3="00000000" w:csb0="000001FF" w:csb1="00000000"/>
    <w:embedRegular r:id="rId3" w:fontKey="{DD80A0FD-6898-4CD9-A8A3-10ED76C8C6F0}"/>
  </w:font>
  <w:font w:name="Cambria">
    <w:panose1 w:val="02040503050406030204"/>
    <w:charset w:val="00"/>
    <w:family w:val="roman"/>
    <w:pitch w:val="variable"/>
    <w:sig w:usb0="E00006FF" w:usb1="420024FF" w:usb2="02000000" w:usb3="00000000" w:csb0="0000019F" w:csb1="00000000"/>
    <w:embedRegular r:id="rId4" w:fontKey="{3D7309ED-655E-4595-A13C-B5256136F5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842" w:rsidRPr="002F7DCC" w:rsidRDefault="002F7DCC" w:rsidP="002F7DCC">
    <w:pPr>
      <w:pStyle w:val="Footer"/>
      <w:tabs>
        <w:tab w:val="clear" w:pos="4680"/>
        <w:tab w:val="clear" w:pos="9360"/>
        <w:tab w:val="center" w:pos="2995"/>
      </w:tabs>
      <w:spacing w:before="120"/>
    </w:pPr>
    <w:r>
      <w:t>[3576</w:t>
    </w:r>
    <w:r w:rsidR="006A488C">
      <w:t>-</w:t>
    </w:r>
    <w:r w:rsidR="006A488C">
      <w:fldChar w:fldCharType="begin"/>
    </w:r>
    <w:r w:rsidR="006A488C">
      <w:instrText xml:space="preserve"> PAGE  \* MERGEFORMAT </w:instrText>
    </w:r>
    <w:r w:rsidR="006A488C">
      <w:fldChar w:fldCharType="separate"/>
    </w:r>
    <w:r w:rsidR="00EB633A">
      <w:rPr>
        <w:noProof/>
      </w:rPr>
      <w:t>3</w:t>
    </w:r>
    <w:r w:rsidR="006A488C">
      <w:fldChar w:fldCharType="end"/>
    </w:r>
    <w:r w:rsidR="006A48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8C" w:rsidRPr="002F7DCC" w:rsidRDefault="006A488C" w:rsidP="002F7DCC">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EB63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6DD" w:rsidRDefault="00B856DD" w:rsidP="009F0C77">
      <w:r>
        <w:separator/>
      </w:r>
    </w:p>
  </w:footnote>
  <w:footnote w:type="continuationSeparator" w:id="0">
    <w:p w:rsidR="00B856DD" w:rsidRDefault="00B85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8SA19"/>
    <w:docVar w:name="CoverBillType" w:val="b"/>
    <w:docVar w:name="DocPath" w:val="L:\Council\bills\RT\17538SA19.DOCX"/>
    <w:docVar w:name="dvBillNumber" w:val="3576"/>
    <w:docVar w:name="dvBillNumberPrefix" w:val="H. "/>
    <w:docVar w:name="dvOriginalBody" w:val="House"/>
    <w:docVar w:name="dvSteno" w:val="RT"/>
    <w:docVar w:name="NameofBody" w:val="h"/>
    <w:docVar w:name="vGroup2" w:val="Council"/>
  </w:docVars>
  <w:rsids>
    <w:rsidRoot w:val="00B856DD"/>
    <w:rsid w:val="00011869"/>
    <w:rsid w:val="00015CD6"/>
    <w:rsid w:val="000A4CF1"/>
    <w:rsid w:val="000E0100"/>
    <w:rsid w:val="000E1785"/>
    <w:rsid w:val="000F40FA"/>
    <w:rsid w:val="001035F1"/>
    <w:rsid w:val="0010776B"/>
    <w:rsid w:val="00133E66"/>
    <w:rsid w:val="001435A3"/>
    <w:rsid w:val="00146ED3"/>
    <w:rsid w:val="00151044"/>
    <w:rsid w:val="001A05D3"/>
    <w:rsid w:val="001D08F2"/>
    <w:rsid w:val="001D3A58"/>
    <w:rsid w:val="001D525B"/>
    <w:rsid w:val="001D7F4F"/>
    <w:rsid w:val="00205238"/>
    <w:rsid w:val="002321B6"/>
    <w:rsid w:val="00250967"/>
    <w:rsid w:val="002543C8"/>
    <w:rsid w:val="0025541D"/>
    <w:rsid w:val="00284AAE"/>
    <w:rsid w:val="002E5912"/>
    <w:rsid w:val="002F7DCC"/>
    <w:rsid w:val="00301B21"/>
    <w:rsid w:val="00325348"/>
    <w:rsid w:val="0032732C"/>
    <w:rsid w:val="00336AD0"/>
    <w:rsid w:val="0036101D"/>
    <w:rsid w:val="0037079A"/>
    <w:rsid w:val="003C4DAB"/>
    <w:rsid w:val="003D01E8"/>
    <w:rsid w:val="003E5288"/>
    <w:rsid w:val="003F6D79"/>
    <w:rsid w:val="0041760A"/>
    <w:rsid w:val="00417C01"/>
    <w:rsid w:val="004403BD"/>
    <w:rsid w:val="00461441"/>
    <w:rsid w:val="004809EE"/>
    <w:rsid w:val="004E7D54"/>
    <w:rsid w:val="0051211B"/>
    <w:rsid w:val="005273C6"/>
    <w:rsid w:val="00530A69"/>
    <w:rsid w:val="00545593"/>
    <w:rsid w:val="00556EBF"/>
    <w:rsid w:val="00577C6C"/>
    <w:rsid w:val="005A62FE"/>
    <w:rsid w:val="005C2FE2"/>
    <w:rsid w:val="005E2BC9"/>
    <w:rsid w:val="00605102"/>
    <w:rsid w:val="006215AA"/>
    <w:rsid w:val="006913C9"/>
    <w:rsid w:val="0069470D"/>
    <w:rsid w:val="006A488C"/>
    <w:rsid w:val="006B7311"/>
    <w:rsid w:val="006D58AA"/>
    <w:rsid w:val="00734F00"/>
    <w:rsid w:val="00764305"/>
    <w:rsid w:val="00771B20"/>
    <w:rsid w:val="007A70AE"/>
    <w:rsid w:val="008362E8"/>
    <w:rsid w:val="0085786E"/>
    <w:rsid w:val="008A1768"/>
    <w:rsid w:val="008A489F"/>
    <w:rsid w:val="008F0F33"/>
    <w:rsid w:val="008F4429"/>
    <w:rsid w:val="0091384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4B1"/>
    <w:rsid w:val="00B412D4"/>
    <w:rsid w:val="00B83CD0"/>
    <w:rsid w:val="00B856D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633A"/>
    <w:rsid w:val="00EC5193"/>
    <w:rsid w:val="00EF2368"/>
    <w:rsid w:val="00EF68D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5115E-C6B5-4679-A4CB-7FE9ABE8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48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6A488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48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C8B64-02AF-4ACA-B38C-002B11225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9B34ABD</Template>
  <TotalTime>0</TotalTime>
  <Pages>6</Pages>
  <Words>1510</Words>
  <Characters>8125</Characters>
  <Application>Microsoft Office Word</Application>
  <DocSecurity>0</DocSecurity>
  <Lines>202</Lines>
  <Paragraphs>40</Paragraphs>
  <ScaleCrop>false</ScaleCrop>
  <HeadingPairs>
    <vt:vector size="2" baseType="variant">
      <vt:variant>
        <vt:lpstr>Title</vt:lpstr>
      </vt:variant>
      <vt:variant>
        <vt:i4>1</vt:i4>
      </vt:variant>
    </vt:vector>
  </HeadingPairs>
  <TitlesOfParts>
    <vt:vector size="1" baseType="lpstr">
      <vt:lpstr>2019-2020 Bill 3576: Subject not yet available - South Carolina Legislature Online</vt:lpstr>
    </vt:vector>
  </TitlesOfParts>
  <Company>LPITS</Company>
  <LinksUpToDate>false</LinksUpToDate>
  <CharactersWithSpaces>9658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3576 Text of Previous Version (Mar. 14, 2019) - South Carolina Legislature Online</dc:title>
  <dc:creator>Rebecca Turner</dc:creator>
  <cp:lastModifiedBy>Lavarres Lynch</cp:lastModifiedBy>
  <cp:revision>2</cp:revision>
  <dcterms:created xsi:type="dcterms:W3CDTF">2019-03-14T19:07:00Z</dcterms:created>
  <dcterms:modified xsi:type="dcterms:W3CDTF">2019-03-14T19:07:00Z</dcterms:modified>
</cp:coreProperties>
</file>