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C77" w:rsidRDefault="00904C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63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Pr>
          <w:color w:val="000000" w:themeColor="text1"/>
        </w:rPr>
        <w:noBreakHyphen/>
        <w:t>3</w:t>
      </w:r>
      <w:r>
        <w:rPr>
          <w:color w:val="000000" w:themeColor="text1"/>
        </w:rPr>
        <w:noBreakHyphen/>
        <w:t>651, CODE OF LAWS OF SOUTH CAROLINA, 1976, RELATING TO CRIMINAL SEXUAL CONDUCT DEFINITIONS, SO AS TO ADD A DEFINITION FOR “CONSENT”.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Pr>
          <w:color w:val="000000" w:themeColor="text1"/>
        </w:rPr>
        <w:t>Section 16</w:t>
      </w:r>
      <w:r>
        <w:rPr>
          <w:color w:val="000000" w:themeColor="text1"/>
        </w:rPr>
        <w:noBreakHyphen/>
        <w:t>3</w:t>
      </w:r>
      <w:r>
        <w:rPr>
          <w:color w:val="000000" w:themeColor="text1"/>
        </w:rPr>
        <w:noBreakHyphen/>
        <w:t>651 of the 1976 Code is amended to read:</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3</w:t>
      </w:r>
      <w:r>
        <w:rPr>
          <w:color w:val="000000" w:themeColor="text1"/>
        </w:rPr>
        <w:noBreakHyphen/>
        <w:t>651.</w:t>
      </w:r>
      <w:r>
        <w:rPr>
          <w:color w:val="000000" w:themeColor="text1"/>
        </w:rPr>
        <w:tab/>
        <w:t>For the purposes of Sections 16</w:t>
      </w:r>
      <w:r>
        <w:rPr>
          <w:color w:val="000000" w:themeColor="text1"/>
        </w:rPr>
        <w:noBreakHyphen/>
        <w:t>3</w:t>
      </w:r>
      <w:r>
        <w:rPr>
          <w:color w:val="000000" w:themeColor="text1"/>
        </w:rPr>
        <w:noBreakHyphen/>
        <w:t>651 to 16</w:t>
      </w:r>
      <w:r>
        <w:rPr>
          <w:color w:val="000000" w:themeColor="text1"/>
        </w:rPr>
        <w:noBreakHyphen/>
        <w:t>3</w:t>
      </w:r>
      <w:r>
        <w:rPr>
          <w:color w:val="000000" w:themeColor="text1"/>
        </w:rPr>
        <w:noBreakHyphen/>
        <w:t>659.1:</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r>
      <w:r w:rsidRPr="00B64C75">
        <w:rPr>
          <w:color w:val="000000" w:themeColor="text1"/>
        </w:rPr>
        <w:t>‘</w:t>
      </w:r>
      <w:r>
        <w:rPr>
          <w:color w:val="000000" w:themeColor="text1"/>
        </w:rPr>
        <w:t>Actor</w:t>
      </w:r>
      <w:r w:rsidRPr="00B64C75">
        <w:rPr>
          <w:color w:val="000000" w:themeColor="text1"/>
        </w:rPr>
        <w:t>’</w:t>
      </w:r>
      <w:r>
        <w:rPr>
          <w:color w:val="000000" w:themeColor="text1"/>
        </w:rPr>
        <w:t xml:space="preserve"> means a person accused of criminal sexual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r>
      <w:r w:rsidRPr="00B64C75">
        <w:rPr>
          <w:color w:val="000000" w:themeColor="text1"/>
        </w:rPr>
        <w:t>‘</w:t>
      </w:r>
      <w:r>
        <w:rPr>
          <w:color w:val="000000" w:themeColor="text1"/>
        </w:rPr>
        <w:t>Aggravated coercion</w:t>
      </w:r>
      <w:r w:rsidRPr="00B64C75">
        <w:rPr>
          <w:color w:val="000000" w:themeColor="text1"/>
        </w:rPr>
        <w:t>’</w:t>
      </w:r>
      <w:r>
        <w:rPr>
          <w:color w:val="000000" w:themeColor="text1"/>
        </w:rPr>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r>
      <w:r w:rsidRPr="00B64C75">
        <w:rPr>
          <w:color w:val="000000" w:themeColor="text1"/>
        </w:rPr>
        <w:t>‘</w:t>
      </w:r>
      <w:r>
        <w:rPr>
          <w:color w:val="000000" w:themeColor="text1"/>
        </w:rPr>
        <w:t>Aggravated force</w:t>
      </w:r>
      <w:r w:rsidRPr="00B64C75">
        <w:rPr>
          <w:color w:val="000000" w:themeColor="text1"/>
        </w:rPr>
        <w:t>’</w:t>
      </w:r>
      <w:r>
        <w:rPr>
          <w:color w:val="000000" w:themeColor="text1"/>
        </w:rPr>
        <w:t xml:space="preserve"> means that the actor uses physical force or physical violence of a high and aggravated nature to overcome the victim or includes the threat of the use of a deadly weapon.</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rPr>
        <w:tab/>
        <w:t>(d)</w:t>
      </w:r>
      <w:r>
        <w:rPr>
          <w:color w:val="000000" w:themeColor="text1"/>
        </w:rPr>
        <w:tab/>
      </w:r>
      <w:r w:rsidRPr="00B64C75">
        <w:rPr>
          <w:color w:val="000000" w:themeColor="text1"/>
          <w:u w:val="single" w:color="000000" w:themeColor="text1"/>
        </w:rPr>
        <w:t>‘</w:t>
      </w:r>
      <w:r>
        <w:rPr>
          <w:color w:val="000000" w:themeColor="text1"/>
          <w:u w:val="single" w:color="000000" w:themeColor="text1"/>
        </w:rPr>
        <w:t>Consent</w:t>
      </w:r>
      <w:r w:rsidRPr="00B64C75">
        <w:rPr>
          <w:color w:val="000000" w:themeColor="text1"/>
          <w:u w:val="single" w:color="000000" w:themeColor="text1"/>
        </w:rPr>
        <w:t>’</w:t>
      </w:r>
      <w:r>
        <w:rPr>
          <w:color w:val="000000" w:themeColor="text1"/>
          <w:u w:val="single" w:color="000000" w:themeColor="text1"/>
        </w:rPr>
        <w:t xml:space="preserve"> means a freely given, knowledgeable, and informed agreement.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u w:val="single" w:color="000000" w:themeColor="text1"/>
        </w:rPr>
        <w:t>(e)</w:t>
      </w:r>
      <w:r>
        <w:rPr>
          <w:color w:val="000000" w:themeColor="text1"/>
        </w:rPr>
        <w:tab/>
      </w:r>
      <w:r w:rsidRPr="00B64C75">
        <w:rPr>
          <w:color w:val="000000" w:themeColor="text1"/>
        </w:rPr>
        <w:t>‘</w:t>
      </w:r>
      <w:r>
        <w:rPr>
          <w:color w:val="000000" w:themeColor="text1"/>
        </w:rPr>
        <w:t>Intimate parts</w:t>
      </w:r>
      <w:r w:rsidRPr="00B64C75">
        <w:rPr>
          <w:color w:val="000000" w:themeColor="text1"/>
        </w:rPr>
        <w:t>’</w:t>
      </w:r>
      <w:r>
        <w:rPr>
          <w:color w:val="000000" w:themeColor="text1"/>
        </w:rPr>
        <w:t xml:space="preserve"> includes the primary genital area, anus, groin, inner thighs, or buttocks of a male or female human being and the breasts of a female human being.</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strike/>
          <w:color w:val="000000" w:themeColor="text1"/>
        </w:rPr>
        <w:t>(e)</w:t>
      </w:r>
      <w:r>
        <w:rPr>
          <w:color w:val="000000" w:themeColor="text1"/>
        </w:rPr>
        <w:t xml:space="preserve"> </w:t>
      </w:r>
      <w:r>
        <w:rPr>
          <w:color w:val="000000" w:themeColor="text1"/>
          <w:u w:val="single" w:color="000000" w:themeColor="text1"/>
        </w:rPr>
        <w:t>(f)</w:t>
      </w:r>
      <w:r>
        <w:rPr>
          <w:color w:val="000000" w:themeColor="text1"/>
        </w:rPr>
        <w:tab/>
      </w:r>
      <w:r w:rsidRPr="00B64C75">
        <w:rPr>
          <w:color w:val="000000" w:themeColor="text1"/>
        </w:rPr>
        <w:t>‘</w:t>
      </w:r>
      <w:r>
        <w:rPr>
          <w:color w:val="000000" w:themeColor="text1"/>
        </w:rPr>
        <w:t>Mentally defective</w:t>
      </w:r>
      <w:r w:rsidRPr="00B64C75">
        <w:rPr>
          <w:color w:val="000000" w:themeColor="text1"/>
        </w:rPr>
        <w:t>’</w:t>
      </w:r>
      <w:r>
        <w:rPr>
          <w:color w:val="000000" w:themeColor="text1"/>
        </w:rPr>
        <w:t xml:space="preserve"> means that a person suffers from a mental disease or defect which renders the person temporarily or permanently incapable of appraising the nature of his or her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(f)</w:t>
      </w:r>
      <w:r>
        <w:rPr>
          <w:color w:val="000000" w:themeColor="text1"/>
        </w:rPr>
        <w:t xml:space="preserve"> </w:t>
      </w:r>
      <w:r>
        <w:rPr>
          <w:color w:val="000000" w:themeColor="text1"/>
          <w:u w:val="single" w:color="000000" w:themeColor="text1"/>
        </w:rPr>
        <w:t>(g)</w:t>
      </w:r>
      <w:r>
        <w:rPr>
          <w:color w:val="000000" w:themeColor="text1"/>
        </w:rPr>
        <w:tab/>
      </w:r>
      <w:r w:rsidRPr="00B64C75">
        <w:rPr>
          <w:color w:val="000000" w:themeColor="text1"/>
        </w:rPr>
        <w:t>‘</w:t>
      </w:r>
      <w:r>
        <w:rPr>
          <w:color w:val="000000" w:themeColor="text1"/>
        </w:rPr>
        <w:t>Mentally incapacitated</w:t>
      </w:r>
      <w:r w:rsidRPr="00B64C75">
        <w:rPr>
          <w:color w:val="000000" w:themeColor="text1"/>
        </w:rPr>
        <w:t>’</w:t>
      </w:r>
      <w:r>
        <w:rPr>
          <w:color w:val="000000" w:themeColor="text1"/>
        </w:rPr>
        <w:t xml:space="preserve"> means that a person is rendered temporarily incapable of appraising or controlling his or her conduct whether this condition is produced by illness, defect, the influence of a substance or from some other cause.</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(g)</w:t>
      </w:r>
      <w:r>
        <w:rPr>
          <w:color w:val="000000" w:themeColor="text1"/>
        </w:rPr>
        <w:t xml:space="preserve"> </w:t>
      </w:r>
      <w:r>
        <w:rPr>
          <w:color w:val="000000" w:themeColor="text1"/>
          <w:u w:val="single" w:color="000000" w:themeColor="text1"/>
        </w:rPr>
        <w:t>(h)</w:t>
      </w:r>
      <w:r>
        <w:rPr>
          <w:color w:val="000000" w:themeColor="text1"/>
        </w:rPr>
        <w:tab/>
      </w:r>
      <w:r w:rsidRPr="00B64C75">
        <w:rPr>
          <w:color w:val="000000" w:themeColor="text1"/>
        </w:rPr>
        <w:t>‘</w:t>
      </w:r>
      <w:r>
        <w:rPr>
          <w:color w:val="000000" w:themeColor="text1"/>
        </w:rPr>
        <w:t>Physically helpless</w:t>
      </w:r>
      <w:r w:rsidRPr="00B64C75">
        <w:rPr>
          <w:color w:val="000000" w:themeColor="text1"/>
        </w:rPr>
        <w:t>’</w:t>
      </w:r>
      <w:r>
        <w:rPr>
          <w:color w:val="000000" w:themeColor="text1"/>
        </w:rPr>
        <w:t xml:space="preserve"> means that a person is unconscious, asleep, or for any other reason physically unable to communicate unwillingness to an act.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(h)</w:t>
      </w:r>
      <w:r>
        <w:rPr>
          <w:color w:val="000000" w:themeColor="text1"/>
        </w:rPr>
        <w:t xml:space="preserve"> </w:t>
      </w:r>
      <w:r>
        <w:rPr>
          <w:color w:val="000000" w:themeColor="text1"/>
          <w:u w:val="single" w:color="000000" w:themeColor="text1"/>
        </w:rPr>
        <w:t>(i)</w:t>
      </w:r>
      <w:r>
        <w:rPr>
          <w:color w:val="000000" w:themeColor="text1"/>
        </w:rPr>
        <w:tab/>
      </w:r>
      <w:r w:rsidRPr="00B64C75">
        <w:rPr>
          <w:color w:val="000000" w:themeColor="text1"/>
        </w:rPr>
        <w:t>‘</w:t>
      </w:r>
      <w:r>
        <w:rPr>
          <w:color w:val="000000" w:themeColor="text1"/>
        </w:rPr>
        <w:t>Sexual battery</w:t>
      </w:r>
      <w:r w:rsidRPr="00B64C75">
        <w:rPr>
          <w:color w:val="000000" w:themeColor="text1"/>
        </w:rPr>
        <w:t>’</w:t>
      </w:r>
      <w:r>
        <w:rPr>
          <w:color w:val="000000" w:themeColor="text1"/>
        </w:rPr>
        <w:t xml:space="preserve"> means sexual intercourse, cunnilingus, fellatio, anal intercourse, or any intrusion, however slight, of any part of a person</w:t>
      </w:r>
      <w:r w:rsidRPr="00B64C75">
        <w:rPr>
          <w:color w:val="000000" w:themeColor="text1"/>
        </w:rPr>
        <w:t>’</w:t>
      </w:r>
      <w:r>
        <w:rPr>
          <w:color w:val="000000" w:themeColor="text1"/>
        </w:rPr>
        <w:t>s body or of any object into the genital or anal openings of another person</w:t>
      </w:r>
      <w:r w:rsidRPr="00B64C75">
        <w:rPr>
          <w:color w:val="000000" w:themeColor="text1"/>
        </w:rPr>
        <w:t>’</w:t>
      </w:r>
      <w:r>
        <w:rPr>
          <w:color w:val="000000" w:themeColor="text1"/>
        </w:rPr>
        <w:t>s body, except when such intrusion is accomplished for medically recognized treatment or diagnostic purposes.</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strike/>
          <w:color w:val="000000" w:themeColor="text1"/>
        </w:rPr>
        <w:t>(i)</w:t>
      </w:r>
      <w:r>
        <w:rPr>
          <w:color w:val="000000" w:themeColor="text1"/>
        </w:rPr>
        <w:t xml:space="preserve"> </w:t>
      </w:r>
      <w:r>
        <w:rPr>
          <w:color w:val="000000" w:themeColor="text1"/>
          <w:u w:val="single" w:color="000000" w:themeColor="text1"/>
        </w:rPr>
        <w:t>(j)</w:t>
      </w:r>
      <w:r>
        <w:rPr>
          <w:color w:val="000000" w:themeColor="text1"/>
        </w:rPr>
        <w:tab/>
      </w:r>
      <w:r w:rsidRPr="00B64C75">
        <w:rPr>
          <w:color w:val="000000" w:themeColor="text1"/>
        </w:rPr>
        <w:t>‘</w:t>
      </w:r>
      <w:r>
        <w:rPr>
          <w:color w:val="000000" w:themeColor="text1"/>
        </w:rPr>
        <w:t>Victim</w:t>
      </w:r>
      <w:r w:rsidRPr="00B64C75">
        <w:rPr>
          <w:color w:val="000000" w:themeColor="text1"/>
        </w:rPr>
        <w:t>’</w:t>
      </w:r>
      <w:r>
        <w:rPr>
          <w:color w:val="000000" w:themeColor="text1"/>
        </w:rPr>
        <w:t xml:space="preserve"> means the person alleging to have been subjected to criminal sexual conduct.”</w:t>
      </w: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4C75" w:rsidRDefault="00B64C75" w:rsidP="00B64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E17EF" w:rsidRDefault="00B64C75" w:rsidP="00637F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C77" w:rsidRDefault="00904C77" w:rsidP="00904C77">
      <w:pPr>
        <w:suppressAutoHyphens/>
      </w:pPr>
    </w:p>
    <w:sectPr w:rsidR="00904C77" w:rsidSect="00904C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3B0" w:rsidRDefault="000063B0" w:rsidP="009F0C77">
      <w:r>
        <w:separator/>
      </w:r>
    </w:p>
  </w:endnote>
  <w:endnote w:type="continuationSeparator" w:id="0">
    <w:p w:rsidR="000063B0" w:rsidRDefault="000063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4F0168-AFA1-4C97-902A-205B55498E8D}"/>
    <w:embedBold r:id="rId2" w:fontKey="{3C4C7DBB-30F8-4FA8-B990-1D3F2C40B473}"/>
  </w:font>
  <w:font w:name="Calibri">
    <w:panose1 w:val="020F0502020204030204"/>
    <w:charset w:val="00"/>
    <w:family w:val="swiss"/>
    <w:pitch w:val="variable"/>
    <w:sig w:usb0="E00002FF" w:usb1="4000ACFF" w:usb2="00000001" w:usb3="00000000" w:csb0="0000019F" w:csb1="00000000"/>
    <w:embedRegular r:id="rId3" w:fontKey="{0AAC9A16-8857-49E5-B153-9323D569D2E3}"/>
  </w:font>
  <w:font w:name="Cambria">
    <w:panose1 w:val="02040503050406030204"/>
    <w:charset w:val="00"/>
    <w:family w:val="roman"/>
    <w:pitch w:val="variable"/>
    <w:sig w:usb0="E00002FF" w:usb1="400004FF" w:usb2="00000000" w:usb3="00000000" w:csb0="0000019F" w:csb1="00000000"/>
    <w:embedRegular r:id="rId4" w:fontKey="{033887DB-B8C6-41E6-A684-AB5ADF6861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17EF" w:rsidRPr="00904C77" w:rsidRDefault="00904C77" w:rsidP="00904C77">
    <w:pPr>
      <w:pStyle w:val="Footer"/>
      <w:tabs>
        <w:tab w:val="clear" w:pos="4680"/>
        <w:tab w:val="clear" w:pos="9360"/>
        <w:tab w:val="center" w:pos="2995"/>
      </w:tabs>
      <w:spacing w:before="120"/>
    </w:pPr>
    <w:r>
      <w:t>[361]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3B0" w:rsidRDefault="000063B0" w:rsidP="009F0C77">
      <w:r>
        <w:separator/>
      </w:r>
    </w:p>
  </w:footnote>
  <w:footnote w:type="continuationSeparator" w:id="0">
    <w:p w:rsidR="000063B0" w:rsidRDefault="000063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20SA19"/>
    <w:docVar w:name="CoverBillType" w:val="b"/>
    <w:docVar w:name="DocPath" w:val="L:\Council\bills\RT\17520SA19.DOCX"/>
    <w:docVar w:name="dvBillNumber" w:val="361"/>
    <w:docVar w:name="dvBillNumberPrefix" w:val="S. "/>
    <w:docVar w:name="dvOriginalBody" w:val="Senate"/>
    <w:docVar w:name="dvSteno" w:val="RT"/>
    <w:docVar w:name="NameofBody" w:val="s"/>
    <w:docVar w:name="vGroup2" w:val="Council"/>
  </w:docVars>
  <w:rsids>
    <w:rsidRoot w:val="000063B0"/>
    <w:rsid w:val="00002429"/>
    <w:rsid w:val="000063B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37F4E"/>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04C77"/>
    <w:rsid w:val="00932670"/>
    <w:rsid w:val="009352BB"/>
    <w:rsid w:val="00990668"/>
    <w:rsid w:val="009B397B"/>
    <w:rsid w:val="009F0C77"/>
    <w:rsid w:val="009F4DD1"/>
    <w:rsid w:val="00A147A8"/>
    <w:rsid w:val="00A64E80"/>
    <w:rsid w:val="00A741D9"/>
    <w:rsid w:val="00A85589"/>
    <w:rsid w:val="00A9741D"/>
    <w:rsid w:val="00AB0576"/>
    <w:rsid w:val="00AD4B17"/>
    <w:rsid w:val="00AF2901"/>
    <w:rsid w:val="00B26FA6"/>
    <w:rsid w:val="00B64C75"/>
    <w:rsid w:val="00B741CB"/>
    <w:rsid w:val="00B84B39"/>
    <w:rsid w:val="00B87AF8"/>
    <w:rsid w:val="00B934F3"/>
    <w:rsid w:val="00BB6347"/>
    <w:rsid w:val="00BD2134"/>
    <w:rsid w:val="00BE17EF"/>
    <w:rsid w:val="00C038D8"/>
    <w:rsid w:val="00C045DD"/>
    <w:rsid w:val="00C3136F"/>
    <w:rsid w:val="00C3483A"/>
    <w:rsid w:val="00C74E9D"/>
    <w:rsid w:val="00C82FD3"/>
    <w:rsid w:val="00C9339C"/>
    <w:rsid w:val="00CC2C8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7BD6DD-9008-459C-9274-04716BE0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62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1BABAE-F63D-4357-995E-4C595237D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BDE97321.dotm</Template>
  <TotalTime>0</TotalTime>
  <Pages>2</Pages>
  <Words>387</Words>
  <Characters>2020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361 Text of Previous Version (Jan. 10, 2019) - South Carolina Legislature Online</dc:title>
  <dc:subject/>
  <dc:creator>Rebecca Turner</dc:creator>
  <cp:keywords/>
  <dc:description/>
  <cp:lastModifiedBy>S Volk</cp:lastModifiedBy>
  <cp:revision>2</cp:revision>
  <dcterms:created xsi:type="dcterms:W3CDTF">2019-01-10T17:31:00Z</dcterms:created>
  <dcterms:modified xsi:type="dcterms:W3CDTF">2019-01-10T17:31:00Z</dcterms:modified>
</cp:coreProperties>
</file>